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002C" w:rsidRDefault="0080002C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Layout w:type="fixed"/>
        <w:tblLook w:val="0000" w:firstRow="0" w:lastRow="0" w:firstColumn="0" w:lastColumn="0" w:noHBand="0" w:noVBand="0"/>
      </w:tblPr>
      <w:tblGrid>
        <w:gridCol w:w="2364"/>
        <w:gridCol w:w="5692"/>
        <w:gridCol w:w="207"/>
        <w:gridCol w:w="381"/>
        <w:gridCol w:w="5544"/>
      </w:tblGrid>
      <w:tr w:rsidR="0080002C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002C" w:rsidRDefault="00297A98">
            <w:pPr>
              <w:widowControl w:val="0"/>
              <w:spacing w:line="288" w:lineRule="auto"/>
              <w:jc w:val="center"/>
            </w:pPr>
            <w:r>
              <w:rPr>
                <w:rFonts w:ascii="Arial" w:eastAsia="Arial" w:hAnsi="Arial" w:cs="Arial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80002C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  <w:b/>
              </w:rPr>
              <w:t>Project: Survival of the Fittest</w:t>
            </w:r>
          </w:p>
        </w:tc>
      </w:tr>
      <w:tr w:rsidR="0080002C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</w:tr>
      <w:tr w:rsidR="0080002C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002C" w:rsidRDefault="00297A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Major Product(s) and Presentation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80002C" w:rsidRDefault="00297A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Knowledge and Skills Needed by Students</w:t>
            </w:r>
          </w:p>
          <w:p w:rsidR="0080002C" w:rsidRDefault="00297A9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successfully complete major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right w:w="115" w:type="dxa"/>
            </w:tcMar>
          </w:tcPr>
          <w:p w:rsidR="0080002C" w:rsidRDefault="00297A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80002C" w:rsidRDefault="00297A9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the project teacher, other teachers, experts,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mentors, community members</w:t>
            </w:r>
          </w:p>
        </w:tc>
      </w:tr>
      <w:tr w:rsidR="0080002C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Video Newscast OR Board Game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How to take notes on academic materials.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Reader’s workshop, Science, and Writing lessons to show a consistent way to take notes.</w:t>
            </w:r>
          </w:p>
        </w:tc>
      </w:tr>
      <w:tr w:rsidR="0080002C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Animals have characteristics known as adaptations that help them survive and reproduce.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Science lesson for vocabulary: adaptation</w:t>
            </w: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Research time</w:t>
            </w:r>
          </w:p>
        </w:tc>
      </w:tr>
      <w:tr w:rsidR="0080002C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Animals have certain roles in food chains and webs.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Science lesson for vocabulary: source of energy, producer, consumer, decomposer</w:t>
            </w: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Research time</w:t>
            </w:r>
          </w:p>
        </w:tc>
      </w:tr>
      <w:tr w:rsidR="0080002C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Natural events and human events can impact an environment.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Science lesson</w:t>
            </w: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Research time</w:t>
            </w:r>
          </w:p>
        </w:tc>
      </w:tr>
      <w:tr w:rsidR="0080002C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Changes in an environment can affect the survival of animals.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Science lesson</w:t>
            </w: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Research time</w:t>
            </w:r>
          </w:p>
        </w:tc>
      </w:tr>
      <w:tr w:rsidR="0080002C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There are generally three outcomes of environmental change on an animal’s survival: they can survive and reproduce, die, or move to a new </w:t>
            </w:r>
            <w:r>
              <w:rPr>
                <w:rFonts w:ascii="Arial" w:eastAsia="Arial" w:hAnsi="Arial" w:cs="Arial"/>
              </w:rPr>
              <w:lastRenderedPageBreak/>
              <w:t>location.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Science lesson</w:t>
            </w: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Research time</w:t>
            </w:r>
          </w:p>
          <w:p w:rsidR="0080002C" w:rsidRDefault="0080002C">
            <w:pPr>
              <w:widowControl w:val="0"/>
            </w:pPr>
          </w:p>
        </w:tc>
      </w:tr>
      <w:tr w:rsidR="0080002C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How to create a script and shoot a video newscast on a digital device, detailing an effect of environmental change on animals’ habitats and lives.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Teacher modeling and practice</w:t>
            </w:r>
          </w:p>
        </w:tc>
      </w:tr>
      <w:tr w:rsidR="0080002C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How to design and create a board game that shows outcomes of environmental change on animals’ lives/habitats.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Teacher modeling and studying examples of different board games</w:t>
            </w:r>
          </w:p>
        </w:tc>
      </w:tr>
      <w:tr w:rsidR="0080002C">
        <w:trPr>
          <w:trHeight w:val="920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Choose Your Own Adventure Story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All of the above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</w:tr>
      <w:tr w:rsidR="0080002C">
        <w:trPr>
          <w:trHeight w:val="920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How to plan (thinking maps) and write a narrative structure with a setting, problem and solution.</w:t>
            </w:r>
          </w:p>
          <w:p w:rsidR="0080002C" w:rsidRDefault="0080002C">
            <w:pPr>
              <w:widowControl w:val="0"/>
            </w:pP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Crafting strong leads</w:t>
            </w:r>
          </w:p>
          <w:p w:rsidR="0080002C" w:rsidRDefault="0080002C">
            <w:pPr>
              <w:widowControl w:val="0"/>
            </w:pPr>
          </w:p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Using sequencing transition words and phrases</w:t>
            </w:r>
          </w:p>
          <w:p w:rsidR="0080002C" w:rsidRDefault="0080002C">
            <w:pPr>
              <w:widowControl w:val="0"/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88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80002C" w:rsidRDefault="0080002C">
            <w:pPr>
              <w:widowControl w:val="0"/>
              <w:spacing w:line="276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80002C" w:rsidRDefault="00297A98">
            <w:pPr>
              <w:widowControl w:val="0"/>
            </w:pPr>
            <w:r>
              <w:rPr>
                <w:rFonts w:ascii="Arial" w:eastAsia="Arial" w:hAnsi="Arial" w:cs="Arial"/>
              </w:rPr>
              <w:t>Benchmark narrative unit</w:t>
            </w:r>
          </w:p>
        </w:tc>
      </w:tr>
    </w:tbl>
    <w:p w:rsidR="0080002C" w:rsidRDefault="00297A98">
      <w:pPr>
        <w:tabs>
          <w:tab w:val="left" w:pos="13120"/>
        </w:tabs>
      </w:pPr>
      <w:r>
        <w:rPr>
          <w:rFonts w:ascii="Arial" w:eastAsia="Arial" w:hAnsi="Arial" w:cs="Arial"/>
        </w:rPr>
        <w:tab/>
      </w:r>
    </w:p>
    <w:sectPr w:rsidR="0080002C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7A98">
      <w:r>
        <w:separator/>
      </w:r>
    </w:p>
  </w:endnote>
  <w:endnote w:type="continuationSeparator" w:id="0">
    <w:p w:rsidR="00000000" w:rsidRDefault="002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2C" w:rsidRDefault="00297A98">
    <w:pPr>
      <w:widowControl w:val="0"/>
      <w:tabs>
        <w:tab w:val="right" w:pos="14220"/>
      </w:tabs>
      <w:spacing w:after="432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7A98">
      <w:r>
        <w:separator/>
      </w:r>
    </w:p>
  </w:footnote>
  <w:footnote w:type="continuationSeparator" w:id="0">
    <w:p w:rsidR="00000000" w:rsidRDefault="0029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2C"/>
    <w:rsid w:val="00297A98"/>
    <w:rsid w:val="008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8529B-880D-436D-96FA-D86EA36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2015-07-10T15:19:00Z</dcterms:created>
  <dcterms:modified xsi:type="dcterms:W3CDTF">2015-07-10T15:19:00Z</dcterms:modified>
</cp:coreProperties>
</file>