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3E8" w:rsidRPr="00FD1DD1" w:rsidRDefault="00FD1DD1" w:rsidP="0099633D">
      <w:pPr>
        <w:jc w:val="center"/>
        <w:rPr>
          <w:b/>
          <w:sz w:val="32"/>
          <w:szCs w:val="32"/>
        </w:rPr>
      </w:pPr>
      <w:r w:rsidRPr="00FD1DD1">
        <w:rPr>
          <w:b/>
          <w:sz w:val="32"/>
          <w:szCs w:val="32"/>
        </w:rPr>
        <w:t>Grand Blanc Community Schools</w:t>
      </w:r>
    </w:p>
    <w:p w:rsidR="00FD1DD1" w:rsidRDefault="009F75D0" w:rsidP="00FD1DD1">
      <w:pPr>
        <w:jc w:val="center"/>
        <w:rPr>
          <w:b/>
          <w:sz w:val="32"/>
          <w:szCs w:val="32"/>
        </w:rPr>
      </w:pPr>
      <w:r>
        <w:rPr>
          <w:b/>
          <w:sz w:val="32"/>
          <w:szCs w:val="32"/>
        </w:rPr>
        <w:t>Board Policy on</w:t>
      </w:r>
      <w:r w:rsidR="00A06166">
        <w:rPr>
          <w:b/>
          <w:sz w:val="32"/>
          <w:szCs w:val="32"/>
        </w:rPr>
        <w:t xml:space="preserve"> Grading Practices</w:t>
      </w:r>
    </w:p>
    <w:p w:rsidR="00840B90" w:rsidRPr="00FD1DD1" w:rsidRDefault="00840B90" w:rsidP="00FD1DD1">
      <w:pPr>
        <w:jc w:val="center"/>
        <w:rPr>
          <w:b/>
          <w:sz w:val="32"/>
          <w:szCs w:val="32"/>
        </w:rPr>
      </w:pPr>
    </w:p>
    <w:p w:rsidR="00E231DC" w:rsidRDefault="009F75D0" w:rsidP="00FD1DD1">
      <w:pPr>
        <w:rPr>
          <w:sz w:val="24"/>
          <w:szCs w:val="24"/>
        </w:rPr>
      </w:pPr>
      <w:r>
        <w:rPr>
          <w:b/>
          <w:sz w:val="24"/>
          <w:szCs w:val="24"/>
        </w:rPr>
        <w:t>Rationale</w:t>
      </w:r>
      <w:r w:rsidR="00E231DC">
        <w:rPr>
          <w:sz w:val="24"/>
          <w:szCs w:val="24"/>
        </w:rPr>
        <w:t xml:space="preserve">:  </w:t>
      </w:r>
      <w:r>
        <w:rPr>
          <w:sz w:val="24"/>
          <w:szCs w:val="24"/>
        </w:rPr>
        <w:t>T</w:t>
      </w:r>
      <w:r w:rsidR="00D62E4D">
        <w:rPr>
          <w:sz w:val="24"/>
          <w:szCs w:val="24"/>
        </w:rPr>
        <w:t>he purpose of these guidelines is to communicate research-based exp</w:t>
      </w:r>
      <w:r>
        <w:rPr>
          <w:sz w:val="24"/>
          <w:szCs w:val="24"/>
        </w:rPr>
        <w:t>ectations that will result</w:t>
      </w:r>
      <w:r w:rsidR="00D62E4D">
        <w:rPr>
          <w:sz w:val="24"/>
          <w:szCs w:val="24"/>
        </w:rPr>
        <w:t xml:space="preserve"> in less variance and greater</w:t>
      </w:r>
      <w:r w:rsidR="00B3123C">
        <w:rPr>
          <w:sz w:val="24"/>
          <w:szCs w:val="24"/>
        </w:rPr>
        <w:t xml:space="preserve"> consistency </w:t>
      </w:r>
      <w:r>
        <w:rPr>
          <w:sz w:val="24"/>
          <w:szCs w:val="24"/>
        </w:rPr>
        <w:t xml:space="preserve">in grading practices </w:t>
      </w:r>
      <w:r w:rsidR="006513CD">
        <w:rPr>
          <w:sz w:val="24"/>
          <w:szCs w:val="24"/>
        </w:rPr>
        <w:t>throughout</w:t>
      </w:r>
      <w:r>
        <w:rPr>
          <w:sz w:val="24"/>
          <w:szCs w:val="24"/>
        </w:rPr>
        <w:t xml:space="preserve"> the Grand Blanc Community S</w:t>
      </w:r>
      <w:r w:rsidR="00B3123C">
        <w:rPr>
          <w:sz w:val="24"/>
          <w:szCs w:val="24"/>
        </w:rPr>
        <w:t>chool district.</w:t>
      </w:r>
    </w:p>
    <w:p w:rsidR="00051D96" w:rsidRPr="009F75D0" w:rsidRDefault="00E231DC" w:rsidP="00FD1DD1">
      <w:pPr>
        <w:rPr>
          <w:sz w:val="24"/>
          <w:szCs w:val="24"/>
        </w:rPr>
      </w:pPr>
      <w:r w:rsidRPr="00E231DC">
        <w:rPr>
          <w:b/>
          <w:sz w:val="24"/>
          <w:szCs w:val="24"/>
        </w:rPr>
        <w:t>Purpose of a Grade</w:t>
      </w:r>
      <w:r>
        <w:rPr>
          <w:sz w:val="24"/>
          <w:szCs w:val="24"/>
        </w:rPr>
        <w:t xml:space="preserve">:  “In Grand Blanc Community Schools, the purpose </w:t>
      </w:r>
      <w:r w:rsidR="006513CD">
        <w:rPr>
          <w:sz w:val="24"/>
          <w:szCs w:val="24"/>
        </w:rPr>
        <w:t>of a grade is to inform educators as they make instructional decisions</w:t>
      </w:r>
      <w:r>
        <w:rPr>
          <w:sz w:val="24"/>
          <w:szCs w:val="24"/>
        </w:rPr>
        <w:t xml:space="preserve"> as well as inform students (and parents) about what they have </w:t>
      </w:r>
      <w:r w:rsidR="001B7991">
        <w:rPr>
          <w:sz w:val="24"/>
          <w:szCs w:val="24"/>
        </w:rPr>
        <w:t xml:space="preserve">mastered and have </w:t>
      </w:r>
      <w:r w:rsidR="00AF0C35">
        <w:rPr>
          <w:sz w:val="24"/>
          <w:szCs w:val="24"/>
        </w:rPr>
        <w:t>yet to master.”</w:t>
      </w:r>
    </w:p>
    <w:p w:rsidR="00E231DC" w:rsidRDefault="00E231DC" w:rsidP="00FD1DD1">
      <w:pPr>
        <w:rPr>
          <w:sz w:val="24"/>
          <w:szCs w:val="24"/>
        </w:rPr>
      </w:pPr>
      <w:r w:rsidRPr="00E231DC">
        <w:rPr>
          <w:b/>
          <w:sz w:val="24"/>
          <w:szCs w:val="24"/>
        </w:rPr>
        <w:t>Vision</w:t>
      </w:r>
      <w:r>
        <w:rPr>
          <w:sz w:val="24"/>
          <w:szCs w:val="24"/>
        </w:rPr>
        <w:t xml:space="preserve">:  “Grand Blanc Community Schools will record student achievement in a way that is </w:t>
      </w:r>
      <w:r w:rsidRPr="00E231DC">
        <w:rPr>
          <w:sz w:val="24"/>
          <w:szCs w:val="24"/>
          <w:u w:val="single"/>
        </w:rPr>
        <w:t>valid</w:t>
      </w:r>
      <w:r>
        <w:rPr>
          <w:sz w:val="24"/>
          <w:szCs w:val="24"/>
        </w:rPr>
        <w:t xml:space="preserve">, </w:t>
      </w:r>
      <w:r w:rsidRPr="00E231DC">
        <w:rPr>
          <w:sz w:val="24"/>
          <w:szCs w:val="24"/>
          <w:u w:val="single"/>
        </w:rPr>
        <w:t>reliable</w:t>
      </w:r>
      <w:r>
        <w:rPr>
          <w:sz w:val="24"/>
          <w:szCs w:val="24"/>
        </w:rPr>
        <w:t xml:space="preserve">, and </w:t>
      </w:r>
      <w:r w:rsidRPr="00E231DC">
        <w:rPr>
          <w:sz w:val="24"/>
          <w:szCs w:val="24"/>
          <w:u w:val="single"/>
        </w:rPr>
        <w:t>clearly communicated</w:t>
      </w:r>
      <w:r>
        <w:rPr>
          <w:sz w:val="24"/>
          <w:szCs w:val="24"/>
        </w:rPr>
        <w:t xml:space="preserve"> to all parties.”</w:t>
      </w:r>
    </w:p>
    <w:p w:rsidR="00FF43A2" w:rsidRDefault="00FF43A2" w:rsidP="00051D96">
      <w:pPr>
        <w:jc w:val="center"/>
        <w:rPr>
          <w:b/>
          <w:sz w:val="32"/>
          <w:szCs w:val="32"/>
        </w:rPr>
      </w:pPr>
    </w:p>
    <w:p w:rsidR="00FD1DD1" w:rsidRDefault="007D0C1D" w:rsidP="00051D96">
      <w:pPr>
        <w:jc w:val="center"/>
        <w:rPr>
          <w:b/>
          <w:sz w:val="32"/>
          <w:szCs w:val="32"/>
        </w:rPr>
      </w:pPr>
      <w:r>
        <w:rPr>
          <w:b/>
          <w:sz w:val="32"/>
          <w:szCs w:val="32"/>
        </w:rPr>
        <w:t>Supportive Grading Practices</w:t>
      </w:r>
    </w:p>
    <w:p w:rsidR="001B7991" w:rsidRPr="001B7991" w:rsidRDefault="001B7991" w:rsidP="005E7976">
      <w:pPr>
        <w:jc w:val="center"/>
        <w:rPr>
          <w:b/>
          <w:sz w:val="28"/>
          <w:szCs w:val="28"/>
          <w:u w:val="single"/>
        </w:rPr>
      </w:pPr>
      <w:r w:rsidRPr="001B7991">
        <w:rPr>
          <w:b/>
          <w:sz w:val="28"/>
          <w:szCs w:val="28"/>
          <w:u w:val="single"/>
        </w:rPr>
        <w:t>Reliable</w:t>
      </w:r>
    </w:p>
    <w:p w:rsidR="001752D8" w:rsidRDefault="001752D8" w:rsidP="001752D8">
      <w:pPr>
        <w:rPr>
          <w:sz w:val="24"/>
          <w:szCs w:val="24"/>
        </w:rPr>
      </w:pPr>
      <w:r w:rsidRPr="001752D8">
        <w:rPr>
          <w:b/>
          <w:sz w:val="24"/>
          <w:szCs w:val="24"/>
        </w:rPr>
        <w:t>Common Grading Scale</w:t>
      </w:r>
      <w:r>
        <w:rPr>
          <w:sz w:val="24"/>
          <w:szCs w:val="24"/>
        </w:rPr>
        <w:t xml:space="preserve">:  </w:t>
      </w:r>
    </w:p>
    <w:p w:rsidR="001752D8" w:rsidRDefault="00C50CBD" w:rsidP="001752D8">
      <w:pPr>
        <w:rPr>
          <w:sz w:val="24"/>
          <w:szCs w:val="24"/>
        </w:rPr>
      </w:pPr>
      <w:r w:rsidRPr="00C50CBD">
        <w:rPr>
          <w:noProof/>
          <w:sz w:val="24"/>
          <w:szCs w:val="24"/>
        </w:rPr>
        <mc:AlternateContent>
          <mc:Choice Requires="wps">
            <w:drawing>
              <wp:anchor distT="45720" distB="45720" distL="114300" distR="114300" simplePos="0" relativeHeight="251664384" behindDoc="0" locked="0" layoutInCell="1" allowOverlap="1" wp14:anchorId="585C50B8" wp14:editId="68918D77">
                <wp:simplePos x="0" y="0"/>
                <wp:positionH relativeFrom="column">
                  <wp:posOffset>3145790</wp:posOffset>
                </wp:positionH>
                <wp:positionV relativeFrom="paragraph">
                  <wp:posOffset>308771</wp:posOffset>
                </wp:positionV>
                <wp:extent cx="2360930" cy="825500"/>
                <wp:effectExtent l="0" t="0" r="2286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25500"/>
                        </a:xfrm>
                        <a:prstGeom prst="rect">
                          <a:avLst/>
                        </a:prstGeom>
                        <a:solidFill>
                          <a:srgbClr val="FFFFFF"/>
                        </a:solidFill>
                        <a:ln w="9525">
                          <a:solidFill>
                            <a:srgbClr val="000000"/>
                          </a:solidFill>
                          <a:miter lim="800000"/>
                          <a:headEnd/>
                          <a:tailEnd/>
                        </a:ln>
                      </wps:spPr>
                      <wps:txbx>
                        <w:txbxContent>
                          <w:p w:rsidR="00C50CBD" w:rsidRDefault="00C50CBD" w:rsidP="00C50CBD">
                            <w:r>
                              <w:t>Report card grades should be based on where the child is performing at the end of the marking period – NOT an average of grades over time.</w:t>
                            </w:r>
                          </w:p>
                          <w:p w:rsidR="00C50CBD" w:rsidRDefault="00C50CB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type w14:anchorId="585C50B8" id="_x0000_t202" coordsize="21600,21600" o:spt="202" path="m,l,21600r21600,l21600,xe">
                <v:stroke joinstyle="miter"/>
                <v:path gradientshapeok="t" o:connecttype="rect"/>
              </v:shapetype>
              <v:shape id="Text Box 2" o:spid="_x0000_s1026" type="#_x0000_t202" style="position:absolute;margin-left:247.7pt;margin-top:24.3pt;width:185.9pt;height:65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">
                <v:textbox>
                  <w:txbxContent>
                    <w:p w:rsidR="00C50CBD" w:rsidRDefault="00C50CBD" w:rsidP="00C50CBD">
                      <w:r>
                        <w:t>Report card grades should be based on where the child is performing at the end of the marking period – NOT an average of grades over time.</w:t>
                      </w:r>
                    </w:p>
                    <w:p w:rsidR="00C50CBD" w:rsidRDefault="00C50CBD"/>
                  </w:txbxContent>
                </v:textbox>
                <w10:wrap type="square"/>
              </v:shape>
            </w:pict>
          </mc:Fallback>
        </mc:AlternateContent>
      </w:r>
      <w:r w:rsidR="001752D8">
        <w:rPr>
          <w:sz w:val="24"/>
          <w:szCs w:val="24"/>
        </w:rPr>
        <w:t>Grades K-2:</w:t>
      </w:r>
    </w:p>
    <w:tbl>
      <w:tblPr>
        <w:tblStyle w:val="TableGrid"/>
        <w:tblpPr w:leftFromText="180" w:rightFromText="180" w:vertAnchor="text" w:tblpX="-5" w:tblpY="1"/>
        <w:tblOverlap w:val="never"/>
        <w:tblW w:w="0" w:type="auto"/>
        <w:tblLook w:val="04A0" w:firstRow="1" w:lastRow="0" w:firstColumn="1" w:lastColumn="0" w:noHBand="0" w:noVBand="1"/>
      </w:tblPr>
      <w:tblGrid>
        <w:gridCol w:w="828"/>
        <w:gridCol w:w="2412"/>
      </w:tblGrid>
      <w:tr w:rsidR="001650C1" w:rsidTr="00A266FC">
        <w:tc>
          <w:tcPr>
            <w:tcW w:w="828" w:type="dxa"/>
          </w:tcPr>
          <w:p w:rsidR="001650C1" w:rsidRPr="008B0CBF" w:rsidRDefault="001650C1" w:rsidP="00275C49">
            <w:pPr>
              <w:jc w:val="center"/>
              <w:rPr>
                <w:rFonts w:asciiTheme="majorHAnsi" w:hAnsiTheme="majorHAnsi"/>
                <w:b/>
              </w:rPr>
            </w:pPr>
            <w:r w:rsidRPr="008B0CBF">
              <w:rPr>
                <w:rFonts w:asciiTheme="majorHAnsi" w:hAnsiTheme="majorHAnsi"/>
                <w:b/>
              </w:rPr>
              <w:t>Letter Grade</w:t>
            </w:r>
          </w:p>
        </w:tc>
        <w:tc>
          <w:tcPr>
            <w:tcW w:w="2412" w:type="dxa"/>
          </w:tcPr>
          <w:p w:rsidR="001650C1" w:rsidRPr="008B0CBF" w:rsidRDefault="001650C1" w:rsidP="00275C49">
            <w:pPr>
              <w:jc w:val="center"/>
              <w:rPr>
                <w:rFonts w:asciiTheme="majorHAnsi" w:hAnsiTheme="majorHAnsi"/>
                <w:b/>
              </w:rPr>
            </w:pPr>
          </w:p>
        </w:tc>
      </w:tr>
      <w:tr w:rsidR="001650C1" w:rsidTr="00A266FC">
        <w:tc>
          <w:tcPr>
            <w:tcW w:w="828" w:type="dxa"/>
          </w:tcPr>
          <w:p w:rsidR="001650C1" w:rsidRPr="008B0CBF" w:rsidRDefault="001650C1" w:rsidP="00275C49">
            <w:pPr>
              <w:jc w:val="center"/>
              <w:rPr>
                <w:rFonts w:asciiTheme="majorHAnsi" w:hAnsiTheme="majorHAnsi"/>
                <w:b/>
              </w:rPr>
            </w:pPr>
            <w:r>
              <w:rPr>
                <w:rFonts w:asciiTheme="majorHAnsi" w:hAnsiTheme="majorHAnsi"/>
                <w:b/>
              </w:rPr>
              <w:t xml:space="preserve">   S</w:t>
            </w:r>
          </w:p>
        </w:tc>
        <w:tc>
          <w:tcPr>
            <w:tcW w:w="2412" w:type="dxa"/>
          </w:tcPr>
          <w:p w:rsidR="001650C1" w:rsidRPr="00AB427D" w:rsidRDefault="001650C1" w:rsidP="00275C49">
            <w:pPr>
              <w:jc w:val="center"/>
              <w:rPr>
                <w:sz w:val="20"/>
              </w:rPr>
            </w:pPr>
            <w:r>
              <w:rPr>
                <w:sz w:val="20"/>
              </w:rPr>
              <w:t>Secure in skill: c</w:t>
            </w:r>
            <w:r w:rsidRPr="00AB427D">
              <w:rPr>
                <w:sz w:val="20"/>
              </w:rPr>
              <w:t>omplete understanding and application</w:t>
            </w:r>
            <w:r>
              <w:rPr>
                <w:sz w:val="20"/>
              </w:rPr>
              <w:t xml:space="preserve">, advanced-above and beyond.  </w:t>
            </w:r>
          </w:p>
        </w:tc>
      </w:tr>
      <w:tr w:rsidR="001650C1" w:rsidTr="00A266FC">
        <w:tc>
          <w:tcPr>
            <w:tcW w:w="828" w:type="dxa"/>
          </w:tcPr>
          <w:p w:rsidR="001650C1" w:rsidRPr="008B0CBF" w:rsidRDefault="001650C1" w:rsidP="00275C49">
            <w:pPr>
              <w:jc w:val="center"/>
              <w:rPr>
                <w:rFonts w:asciiTheme="majorHAnsi" w:hAnsiTheme="majorHAnsi"/>
                <w:b/>
              </w:rPr>
            </w:pPr>
            <w:r>
              <w:rPr>
                <w:rFonts w:asciiTheme="majorHAnsi" w:hAnsiTheme="majorHAnsi"/>
                <w:b/>
              </w:rPr>
              <w:t>P</w:t>
            </w:r>
          </w:p>
        </w:tc>
        <w:tc>
          <w:tcPr>
            <w:tcW w:w="2412" w:type="dxa"/>
          </w:tcPr>
          <w:p w:rsidR="001650C1" w:rsidRPr="00AB427D" w:rsidRDefault="001650C1" w:rsidP="00275C49">
            <w:pPr>
              <w:jc w:val="center"/>
              <w:rPr>
                <w:sz w:val="20"/>
              </w:rPr>
            </w:pPr>
            <w:r>
              <w:rPr>
                <w:sz w:val="20"/>
              </w:rPr>
              <w:t xml:space="preserve">Progressing as expected: </w:t>
            </w:r>
            <w:r w:rsidRPr="00AB427D">
              <w:rPr>
                <w:sz w:val="20"/>
              </w:rPr>
              <w:t>Independent understanding and application</w:t>
            </w:r>
          </w:p>
        </w:tc>
      </w:tr>
      <w:tr w:rsidR="001650C1" w:rsidTr="00A266FC">
        <w:tc>
          <w:tcPr>
            <w:tcW w:w="828" w:type="dxa"/>
          </w:tcPr>
          <w:p w:rsidR="001650C1" w:rsidRPr="008B0CBF" w:rsidRDefault="001650C1" w:rsidP="00275C49">
            <w:pPr>
              <w:jc w:val="center"/>
              <w:rPr>
                <w:rFonts w:asciiTheme="majorHAnsi" w:hAnsiTheme="majorHAnsi"/>
                <w:b/>
              </w:rPr>
            </w:pPr>
            <w:r>
              <w:rPr>
                <w:rFonts w:asciiTheme="majorHAnsi" w:hAnsiTheme="majorHAnsi"/>
                <w:b/>
              </w:rPr>
              <w:t xml:space="preserve"> N</w:t>
            </w:r>
          </w:p>
        </w:tc>
        <w:tc>
          <w:tcPr>
            <w:tcW w:w="2412" w:type="dxa"/>
          </w:tcPr>
          <w:p w:rsidR="001650C1" w:rsidRPr="00AB427D" w:rsidRDefault="001650C1" w:rsidP="00275C49">
            <w:pPr>
              <w:jc w:val="center"/>
              <w:rPr>
                <w:sz w:val="20"/>
              </w:rPr>
            </w:pPr>
            <w:r>
              <w:rPr>
                <w:sz w:val="20"/>
              </w:rPr>
              <w:t>Needs more practice: completes task w</w:t>
            </w:r>
            <w:r w:rsidRPr="00AB427D">
              <w:rPr>
                <w:sz w:val="20"/>
              </w:rPr>
              <w:t>ith prompting/intervention</w:t>
            </w:r>
          </w:p>
        </w:tc>
      </w:tr>
      <w:tr w:rsidR="001650C1" w:rsidTr="00A266FC">
        <w:tc>
          <w:tcPr>
            <w:tcW w:w="828" w:type="dxa"/>
          </w:tcPr>
          <w:p w:rsidR="001650C1" w:rsidRPr="008B0CBF" w:rsidRDefault="001650C1" w:rsidP="00051D96">
            <w:pPr>
              <w:jc w:val="center"/>
              <w:rPr>
                <w:rFonts w:asciiTheme="majorHAnsi" w:hAnsiTheme="majorHAnsi"/>
                <w:b/>
              </w:rPr>
            </w:pPr>
            <w:r>
              <w:rPr>
                <w:rFonts w:asciiTheme="majorHAnsi" w:hAnsiTheme="majorHAnsi"/>
                <w:b/>
              </w:rPr>
              <w:t>AC</w:t>
            </w:r>
          </w:p>
        </w:tc>
        <w:tc>
          <w:tcPr>
            <w:tcW w:w="2412" w:type="dxa"/>
          </w:tcPr>
          <w:p w:rsidR="001650C1" w:rsidRPr="00AB427D" w:rsidRDefault="001650C1" w:rsidP="00051D96">
            <w:pPr>
              <w:jc w:val="center"/>
              <w:rPr>
                <w:sz w:val="20"/>
              </w:rPr>
            </w:pPr>
            <w:r>
              <w:rPr>
                <w:sz w:val="20"/>
              </w:rPr>
              <w:t xml:space="preserve">Area of concern: </w:t>
            </w:r>
            <w:r w:rsidRPr="00AB427D">
              <w:rPr>
                <w:sz w:val="20"/>
              </w:rPr>
              <w:t>Only with adult intervention</w:t>
            </w:r>
          </w:p>
          <w:p w:rsidR="001650C1" w:rsidRPr="00AB427D" w:rsidRDefault="001650C1" w:rsidP="00051D96">
            <w:pPr>
              <w:jc w:val="center"/>
              <w:rPr>
                <w:sz w:val="20"/>
              </w:rPr>
            </w:pPr>
          </w:p>
        </w:tc>
      </w:tr>
    </w:tbl>
    <w:p w:rsidR="00C50CBD" w:rsidRDefault="00C50CBD" w:rsidP="001752D8"/>
    <w:p w:rsidR="00275C49" w:rsidRDefault="00275C49" w:rsidP="001752D8">
      <w:pPr>
        <w:rPr>
          <w:sz w:val="24"/>
          <w:szCs w:val="24"/>
        </w:rPr>
      </w:pPr>
    </w:p>
    <w:p w:rsidR="00275C49" w:rsidRDefault="00275C49" w:rsidP="001752D8">
      <w:pPr>
        <w:rPr>
          <w:sz w:val="24"/>
          <w:szCs w:val="24"/>
        </w:rPr>
      </w:pPr>
    </w:p>
    <w:p w:rsidR="00275C49" w:rsidRDefault="00275C49" w:rsidP="001752D8">
      <w:pPr>
        <w:rPr>
          <w:sz w:val="24"/>
          <w:szCs w:val="24"/>
        </w:rPr>
      </w:pPr>
    </w:p>
    <w:p w:rsidR="00275C49" w:rsidRDefault="00275C49" w:rsidP="001752D8">
      <w:pPr>
        <w:rPr>
          <w:sz w:val="24"/>
          <w:szCs w:val="24"/>
        </w:rPr>
      </w:pPr>
    </w:p>
    <w:p w:rsidR="00275C49" w:rsidRDefault="00275C49" w:rsidP="001752D8">
      <w:pPr>
        <w:rPr>
          <w:sz w:val="24"/>
          <w:szCs w:val="24"/>
        </w:rPr>
      </w:pPr>
    </w:p>
    <w:p w:rsidR="00275C49" w:rsidRDefault="00275C49" w:rsidP="001752D8">
      <w:pPr>
        <w:rPr>
          <w:sz w:val="24"/>
          <w:szCs w:val="24"/>
        </w:rPr>
      </w:pPr>
    </w:p>
    <w:p w:rsidR="00051D96" w:rsidRDefault="00051D96" w:rsidP="001752D8">
      <w:pPr>
        <w:rPr>
          <w:sz w:val="24"/>
          <w:szCs w:val="24"/>
        </w:rPr>
      </w:pPr>
    </w:p>
    <w:p w:rsidR="00051D96" w:rsidRPr="009F75D0" w:rsidRDefault="00051D96" w:rsidP="001752D8">
      <w:pPr>
        <w:rPr>
          <w:b/>
          <w:sz w:val="24"/>
          <w:szCs w:val="24"/>
        </w:rPr>
      </w:pPr>
    </w:p>
    <w:p w:rsidR="00051D96" w:rsidRDefault="00051D96" w:rsidP="001752D8">
      <w:pPr>
        <w:rPr>
          <w:sz w:val="24"/>
          <w:szCs w:val="24"/>
        </w:rPr>
      </w:pPr>
    </w:p>
    <w:p w:rsidR="009F75D0" w:rsidRDefault="009F75D0" w:rsidP="001752D8">
      <w:pPr>
        <w:rPr>
          <w:sz w:val="24"/>
          <w:szCs w:val="24"/>
        </w:rPr>
      </w:pPr>
    </w:p>
    <w:p w:rsidR="009F75D0" w:rsidRDefault="009F75D0" w:rsidP="001752D8">
      <w:pPr>
        <w:rPr>
          <w:sz w:val="24"/>
          <w:szCs w:val="24"/>
        </w:rPr>
      </w:pPr>
    </w:p>
    <w:p w:rsidR="00C50CBD" w:rsidRPr="00C50CBD" w:rsidRDefault="00C50CBD" w:rsidP="001752D8">
      <w:pPr>
        <w:rPr>
          <w:sz w:val="24"/>
          <w:szCs w:val="24"/>
        </w:rPr>
      </w:pPr>
      <w:r w:rsidRPr="00C50CBD">
        <w:rPr>
          <w:sz w:val="24"/>
          <w:szCs w:val="24"/>
        </w:rPr>
        <w:lastRenderedPageBreak/>
        <w:t>Grades 3-12:</w:t>
      </w:r>
    </w:p>
    <w:tbl>
      <w:tblPr>
        <w:tblStyle w:val="TableGrid"/>
        <w:tblW w:w="0" w:type="auto"/>
        <w:tblInd w:w="-5" w:type="dxa"/>
        <w:tblLook w:val="04A0" w:firstRow="1" w:lastRow="0" w:firstColumn="1" w:lastColumn="0" w:noHBand="0" w:noVBand="1"/>
      </w:tblPr>
      <w:tblGrid>
        <w:gridCol w:w="828"/>
        <w:gridCol w:w="1485"/>
      </w:tblGrid>
      <w:tr w:rsidR="001752D8" w:rsidTr="001752D8">
        <w:tc>
          <w:tcPr>
            <w:tcW w:w="828" w:type="dxa"/>
          </w:tcPr>
          <w:p w:rsidR="001752D8" w:rsidRPr="008B0CBF" w:rsidRDefault="001752D8" w:rsidP="00F500C5">
            <w:pPr>
              <w:jc w:val="center"/>
              <w:rPr>
                <w:rFonts w:asciiTheme="majorHAnsi" w:hAnsiTheme="majorHAnsi"/>
                <w:b/>
              </w:rPr>
            </w:pPr>
            <w:r w:rsidRPr="008B0CBF">
              <w:rPr>
                <w:rFonts w:asciiTheme="majorHAnsi" w:hAnsiTheme="majorHAnsi"/>
                <w:b/>
              </w:rPr>
              <w:t>Letter Grade</w:t>
            </w:r>
          </w:p>
        </w:tc>
        <w:tc>
          <w:tcPr>
            <w:tcW w:w="1485" w:type="dxa"/>
          </w:tcPr>
          <w:p w:rsidR="001752D8" w:rsidRPr="008B0CBF" w:rsidRDefault="001752D8" w:rsidP="00F500C5">
            <w:pPr>
              <w:jc w:val="center"/>
              <w:rPr>
                <w:rFonts w:asciiTheme="majorHAnsi" w:hAnsiTheme="majorHAnsi"/>
                <w:b/>
              </w:rPr>
            </w:pPr>
            <w:r>
              <w:rPr>
                <w:rFonts w:asciiTheme="majorHAnsi" w:hAnsiTheme="majorHAnsi"/>
                <w:b/>
                <w:noProof/>
              </w:rPr>
              <mc:AlternateContent>
                <mc:Choice Requires="wps">
                  <w:drawing>
                    <wp:anchor distT="0" distB="0" distL="114300" distR="114300" simplePos="0" relativeHeight="251660288" behindDoc="0" locked="0" layoutInCell="1" allowOverlap="1" wp14:anchorId="283CAB13" wp14:editId="3A7BC7DA">
                      <wp:simplePos x="0" y="0"/>
                      <wp:positionH relativeFrom="column">
                        <wp:posOffset>1051973</wp:posOffset>
                      </wp:positionH>
                      <wp:positionV relativeFrom="paragraph">
                        <wp:posOffset>7118</wp:posOffset>
                      </wp:positionV>
                      <wp:extent cx="4241800" cy="1424763"/>
                      <wp:effectExtent l="0" t="0" r="25400" b="2349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0" cy="1424763"/>
                              </a:xfrm>
                              <a:prstGeom prst="rect">
                                <a:avLst/>
                              </a:prstGeom>
                              <a:solidFill>
                                <a:srgbClr val="FFFFFF"/>
                              </a:solidFill>
                              <a:ln w="9525">
                                <a:solidFill>
                                  <a:srgbClr val="000000"/>
                                </a:solidFill>
                                <a:miter lim="800000"/>
                                <a:headEnd/>
                                <a:tailEnd/>
                              </a:ln>
                            </wps:spPr>
                            <wps:txbx>
                              <w:txbxContent>
                                <w:p w:rsidR="001752D8" w:rsidRPr="00FF43A2" w:rsidRDefault="001752D8" w:rsidP="001752D8">
                                  <w:pPr>
                                    <w:rPr>
                                      <w:b/>
                                    </w:rPr>
                                  </w:pPr>
                                  <w:r w:rsidRPr="00FF43A2">
                                    <w:rPr>
                                      <w:b/>
                                    </w:rPr>
                                    <w:t>Rounding:</w:t>
                                  </w:r>
                                </w:p>
                                <w:p w:rsidR="001752D8" w:rsidRPr="00FF43A2" w:rsidRDefault="001752D8" w:rsidP="001752D8">
                                  <w:pPr>
                                    <w:rPr>
                                      <w:rFonts w:eastAsia="Times New Roman" w:cs="Tahoma"/>
                                      <w:i/>
                                      <w:color w:val="000000"/>
                                    </w:rPr>
                                  </w:pPr>
                                  <w:r w:rsidRPr="00FF43A2">
                                    <w:rPr>
                                      <w:rStyle w:val="Emphasis"/>
                                      <w:rFonts w:eastAsia="Times New Roman" w:cs="Tahoma"/>
                                      <w:i w:val="0"/>
                                      <w:color w:val="000000"/>
                                    </w:rPr>
                                    <w:t>For consistency in use of the common grading scale, rounding will be done according to traditional mathematical practice (i.e. .5 or higher will round up to the next highest whole number).</w:t>
                                  </w:r>
                                </w:p>
                                <w:p w:rsidR="001752D8" w:rsidRDefault="001752D8" w:rsidP="001752D8">
                                  <w:pPr>
                                    <w:rPr>
                                      <w:rStyle w:val="Emphasis"/>
                                      <w:rFonts w:ascii="Tahoma" w:eastAsia="Times New Roman" w:hAnsi="Tahoma" w:cs="Tahoma"/>
                                      <w:color w:val="000000"/>
                                      <w:sz w:val="18"/>
                                      <w:szCs w:val="18"/>
                                    </w:rPr>
                                  </w:pPr>
                                  <w:r w:rsidRPr="005A7A07">
                                    <w:rPr>
                                      <w:rStyle w:val="Emphasis"/>
                                      <w:rFonts w:ascii="Tahoma" w:eastAsia="Times New Roman" w:hAnsi="Tahoma" w:cs="Tahoma"/>
                                      <w:color w:val="000000"/>
                                      <w:sz w:val="18"/>
                                      <w:szCs w:val="18"/>
                                    </w:rPr>
                                    <w:t>     Example:  86.5% will round to 87% and equal a grade of "B+"</w:t>
                                  </w:r>
                                </w:p>
                                <w:p w:rsidR="001752D8" w:rsidRPr="005A7A07" w:rsidRDefault="001752D8" w:rsidP="001752D8">
                                  <w:pPr>
                                    <w:rPr>
                                      <w:rStyle w:val="Emphasis"/>
                                      <w:rFonts w:ascii="Tahoma" w:eastAsia="Times New Roman" w:hAnsi="Tahoma" w:cs="Tahoma"/>
                                      <w:color w:val="000000"/>
                                      <w:sz w:val="18"/>
                                      <w:szCs w:val="18"/>
                                    </w:rPr>
                                  </w:pPr>
                                  <w:r>
                                    <w:rPr>
                                      <w:rStyle w:val="Emphasis"/>
                                      <w:rFonts w:ascii="Tahoma" w:eastAsia="Times New Roman" w:hAnsi="Tahoma" w:cs="Tahoma"/>
                                      <w:color w:val="000000"/>
                                      <w:sz w:val="18"/>
                                      <w:szCs w:val="18"/>
                                    </w:rPr>
                                    <w:t xml:space="preserve">                   79.5% will round to 80% and equal a grade of “B-“</w:t>
                                  </w:r>
                                </w:p>
                                <w:p w:rsidR="001752D8" w:rsidRDefault="001752D8" w:rsidP="001752D8">
                                  <w:pPr>
                                    <w:rPr>
                                      <w:rStyle w:val="Emphasis"/>
                                      <w:rFonts w:ascii="Tahoma" w:eastAsia="Times New Roman" w:hAnsi="Tahoma" w:cs="Tahoma"/>
                                      <w:color w:val="000000"/>
                                      <w:sz w:val="20"/>
                                      <w:szCs w:val="20"/>
                                    </w:rPr>
                                  </w:pPr>
                                  <w:r>
                                    <w:rPr>
                                      <w:rStyle w:val="Emphasis"/>
                                      <w:rFonts w:ascii="Tahoma" w:eastAsia="Times New Roman" w:hAnsi="Tahoma" w:cs="Tahoma"/>
                                      <w:color w:val="000000"/>
                                      <w:sz w:val="20"/>
                                      <w:szCs w:val="20"/>
                                    </w:rPr>
                                    <w:tab/>
                                    <w:t xml:space="preserve">       </w:t>
                                  </w:r>
                                </w:p>
                                <w:p w:rsidR="001752D8" w:rsidRDefault="001752D8" w:rsidP="001752D8">
                                  <w:pPr>
                                    <w:rPr>
                                      <w:rFonts w:ascii="Tahoma" w:eastAsia="Times New Roman" w:hAnsi="Tahoma" w:cs="Tahoma"/>
                                      <w:color w:val="000000"/>
                                      <w:sz w:val="20"/>
                                      <w:szCs w:val="20"/>
                                    </w:rPr>
                                  </w:pPr>
                                </w:p>
                                <w:p w:rsidR="001752D8" w:rsidRPr="001E2DB4" w:rsidRDefault="001752D8" w:rsidP="001752D8">
                                  <w:pPr>
                                    <w:rPr>
                                      <w:rFonts w:asciiTheme="majorHAnsi" w:hAnsiTheme="maj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535870" id="_x0000_s1028" type="#_x0000_t202" style="position:absolute;left:0;text-align:left;margin-left:82.85pt;margin-top:.55pt;width:334pt;height:11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">
                      <v:textbox>
                        <w:txbxContent>
                          <w:p w:rsidR="001752D8" w:rsidRPr="00FF43A2" w:rsidRDefault="001752D8" w:rsidP="001752D8">
                            <w:pPr>
                              <w:rPr>
                                <w:b/>
                              </w:rPr>
                            </w:pPr>
                            <w:r w:rsidRPr="00FF43A2">
                              <w:rPr>
                                <w:b/>
                              </w:rPr>
                              <w:t>Rounding:</w:t>
                            </w:r>
                          </w:p>
                          <w:p w:rsidR="001752D8" w:rsidRPr="00FF43A2" w:rsidRDefault="001752D8" w:rsidP="001752D8">
                            <w:pPr>
                              <w:rPr>
                                <w:rFonts w:eastAsia="Times New Roman" w:cs="Tahoma"/>
                                <w:i/>
                                <w:color w:val="000000"/>
                              </w:rPr>
                            </w:pPr>
                            <w:r w:rsidRPr="00FF43A2">
                              <w:rPr>
                                <w:rStyle w:val="Emphasis"/>
                                <w:rFonts w:eastAsia="Times New Roman" w:cs="Tahoma"/>
                                <w:i w:val="0"/>
                                <w:color w:val="000000"/>
                              </w:rPr>
                              <w:t>For consistency in use of the common grading scale, rounding will be done according to traditional mathematical practice (i.e. .5 or higher will round up to the next highest whole number).</w:t>
                            </w:r>
                          </w:p>
                          <w:p w:rsidR="001752D8" w:rsidRDefault="001752D8" w:rsidP="001752D8">
                            <w:pPr>
                              <w:rPr>
                                <w:rStyle w:val="Emphasis"/>
                                <w:rFonts w:ascii="Tahoma" w:eastAsia="Times New Roman" w:hAnsi="Tahoma" w:cs="Tahoma"/>
                                <w:color w:val="000000"/>
                                <w:sz w:val="18"/>
                                <w:szCs w:val="18"/>
                              </w:rPr>
                            </w:pPr>
                            <w:r w:rsidRPr="005A7A07">
                              <w:rPr>
                                <w:rStyle w:val="Emphasis"/>
                                <w:rFonts w:ascii="Tahoma" w:eastAsia="Times New Roman" w:hAnsi="Tahoma" w:cs="Tahoma"/>
                                <w:color w:val="000000"/>
                                <w:sz w:val="18"/>
                                <w:szCs w:val="18"/>
                              </w:rPr>
                              <w:t>     Example:  86.5% will round to 87% and equal a grade of "B+"</w:t>
                            </w:r>
                          </w:p>
                          <w:p w:rsidR="001752D8" w:rsidRPr="005A7A07" w:rsidRDefault="001752D8" w:rsidP="001752D8">
                            <w:pPr>
                              <w:rPr>
                                <w:rStyle w:val="Emphasis"/>
                                <w:rFonts w:ascii="Tahoma" w:eastAsia="Times New Roman" w:hAnsi="Tahoma" w:cs="Tahoma"/>
                                <w:color w:val="000000"/>
                                <w:sz w:val="18"/>
                                <w:szCs w:val="18"/>
                              </w:rPr>
                            </w:pPr>
                            <w:r>
                              <w:rPr>
                                <w:rStyle w:val="Emphasis"/>
                                <w:rFonts w:ascii="Tahoma" w:eastAsia="Times New Roman" w:hAnsi="Tahoma" w:cs="Tahoma"/>
                                <w:color w:val="000000"/>
                                <w:sz w:val="18"/>
                                <w:szCs w:val="18"/>
                              </w:rPr>
                              <w:t xml:space="preserve">                   79.5% will round to 80% and equal a grade of “B-“</w:t>
                            </w:r>
                          </w:p>
                          <w:p w:rsidR="001752D8" w:rsidRDefault="001752D8" w:rsidP="001752D8">
                            <w:pPr>
                              <w:rPr>
                                <w:rStyle w:val="Emphasis"/>
                                <w:rFonts w:ascii="Tahoma" w:eastAsia="Times New Roman" w:hAnsi="Tahoma" w:cs="Tahoma"/>
                                <w:color w:val="000000"/>
                                <w:sz w:val="20"/>
                                <w:szCs w:val="20"/>
                              </w:rPr>
                            </w:pPr>
                            <w:r>
                              <w:rPr>
                                <w:rStyle w:val="Emphasis"/>
                                <w:rFonts w:ascii="Tahoma" w:eastAsia="Times New Roman" w:hAnsi="Tahoma" w:cs="Tahoma"/>
                                <w:color w:val="000000"/>
                                <w:sz w:val="20"/>
                                <w:szCs w:val="20"/>
                              </w:rPr>
                              <w:tab/>
                              <w:t xml:space="preserve">       </w:t>
                            </w:r>
                          </w:p>
                          <w:p w:rsidR="001752D8" w:rsidRDefault="001752D8" w:rsidP="001752D8">
                            <w:pPr>
                              <w:rPr>
                                <w:rFonts w:ascii="Tahoma" w:eastAsia="Times New Roman" w:hAnsi="Tahoma" w:cs="Tahoma"/>
                                <w:color w:val="000000"/>
                                <w:sz w:val="20"/>
                                <w:szCs w:val="20"/>
                              </w:rPr>
                            </w:pPr>
                          </w:p>
                          <w:p w:rsidR="001752D8" w:rsidRPr="001E2DB4" w:rsidRDefault="001752D8" w:rsidP="001752D8">
                            <w:pPr>
                              <w:rPr>
                                <w:rFonts w:asciiTheme="majorHAnsi" w:hAnsiTheme="majorHAnsi"/>
                              </w:rPr>
                            </w:pPr>
                          </w:p>
                        </w:txbxContent>
                      </v:textbox>
                    </v:shape>
                  </w:pict>
                </mc:Fallback>
              </mc:AlternateContent>
            </w:r>
            <w:r w:rsidRPr="008B0CBF">
              <w:rPr>
                <w:rFonts w:asciiTheme="majorHAnsi" w:hAnsiTheme="majorHAnsi"/>
                <w:b/>
              </w:rPr>
              <w:t>Percentage</w:t>
            </w:r>
          </w:p>
        </w:tc>
      </w:tr>
      <w:tr w:rsidR="001752D8" w:rsidTr="001752D8">
        <w:tc>
          <w:tcPr>
            <w:tcW w:w="828" w:type="dxa"/>
          </w:tcPr>
          <w:p w:rsidR="001752D8" w:rsidRPr="008B0CBF" w:rsidRDefault="001752D8" w:rsidP="00F500C5">
            <w:pPr>
              <w:rPr>
                <w:rFonts w:asciiTheme="majorHAnsi" w:hAnsiTheme="majorHAnsi"/>
                <w:b/>
              </w:rPr>
            </w:pPr>
            <w:r w:rsidRPr="008B0CBF">
              <w:rPr>
                <w:rFonts w:asciiTheme="majorHAnsi" w:hAnsiTheme="majorHAnsi"/>
                <w:b/>
              </w:rPr>
              <w:t xml:space="preserve">    A</w:t>
            </w:r>
          </w:p>
        </w:tc>
        <w:tc>
          <w:tcPr>
            <w:tcW w:w="1485" w:type="dxa"/>
          </w:tcPr>
          <w:p w:rsidR="001752D8" w:rsidRPr="008B0CBF" w:rsidRDefault="001752D8" w:rsidP="00F500C5">
            <w:pPr>
              <w:jc w:val="center"/>
              <w:rPr>
                <w:rFonts w:asciiTheme="majorHAnsi" w:hAnsiTheme="majorHAnsi"/>
                <w:i/>
              </w:rPr>
            </w:pPr>
            <w:r>
              <w:rPr>
                <w:rFonts w:asciiTheme="majorHAnsi" w:hAnsiTheme="majorHAnsi"/>
                <w:i/>
              </w:rPr>
              <w:t>93</w:t>
            </w:r>
            <w:r w:rsidRPr="008B0CBF">
              <w:rPr>
                <w:rFonts w:asciiTheme="majorHAnsi" w:hAnsiTheme="majorHAnsi"/>
                <w:i/>
              </w:rPr>
              <w:t>-100</w:t>
            </w:r>
          </w:p>
        </w:tc>
      </w:tr>
      <w:tr w:rsidR="001752D8" w:rsidTr="001752D8">
        <w:tc>
          <w:tcPr>
            <w:tcW w:w="828" w:type="dxa"/>
          </w:tcPr>
          <w:p w:rsidR="001752D8" w:rsidRPr="008B0CBF" w:rsidRDefault="001752D8" w:rsidP="00F500C5">
            <w:pPr>
              <w:rPr>
                <w:rFonts w:asciiTheme="majorHAnsi" w:hAnsiTheme="majorHAnsi"/>
                <w:b/>
              </w:rPr>
            </w:pPr>
            <w:r w:rsidRPr="008B0CBF">
              <w:rPr>
                <w:rFonts w:asciiTheme="majorHAnsi" w:hAnsiTheme="majorHAnsi"/>
                <w:b/>
              </w:rPr>
              <w:t xml:space="preserve">    A-</w:t>
            </w:r>
          </w:p>
        </w:tc>
        <w:tc>
          <w:tcPr>
            <w:tcW w:w="1485" w:type="dxa"/>
          </w:tcPr>
          <w:p w:rsidR="001752D8" w:rsidRPr="008B0CBF" w:rsidRDefault="001752D8" w:rsidP="00F500C5">
            <w:pPr>
              <w:jc w:val="center"/>
              <w:rPr>
                <w:rFonts w:asciiTheme="majorHAnsi" w:hAnsiTheme="majorHAnsi"/>
                <w:i/>
              </w:rPr>
            </w:pPr>
            <w:r>
              <w:rPr>
                <w:rFonts w:asciiTheme="majorHAnsi" w:hAnsiTheme="majorHAnsi"/>
                <w:i/>
              </w:rPr>
              <w:t>90</w:t>
            </w:r>
            <w:r w:rsidRPr="008B0CBF">
              <w:rPr>
                <w:rFonts w:asciiTheme="majorHAnsi" w:hAnsiTheme="majorHAnsi"/>
                <w:i/>
              </w:rPr>
              <w:t>-92</w:t>
            </w:r>
          </w:p>
        </w:tc>
      </w:tr>
      <w:tr w:rsidR="001752D8" w:rsidTr="001752D8">
        <w:tc>
          <w:tcPr>
            <w:tcW w:w="828" w:type="dxa"/>
          </w:tcPr>
          <w:p w:rsidR="001752D8" w:rsidRPr="008B0CBF" w:rsidRDefault="001752D8" w:rsidP="00F500C5">
            <w:pPr>
              <w:rPr>
                <w:rFonts w:asciiTheme="majorHAnsi" w:hAnsiTheme="majorHAnsi"/>
                <w:b/>
              </w:rPr>
            </w:pPr>
            <w:r w:rsidRPr="008B0CBF">
              <w:rPr>
                <w:rFonts w:asciiTheme="majorHAnsi" w:hAnsiTheme="majorHAnsi"/>
                <w:b/>
              </w:rPr>
              <w:t xml:space="preserve">    B+</w:t>
            </w:r>
          </w:p>
        </w:tc>
        <w:tc>
          <w:tcPr>
            <w:tcW w:w="1485" w:type="dxa"/>
          </w:tcPr>
          <w:p w:rsidR="001752D8" w:rsidRPr="008B0CBF" w:rsidRDefault="001752D8" w:rsidP="00F500C5">
            <w:pPr>
              <w:jc w:val="center"/>
              <w:rPr>
                <w:rFonts w:asciiTheme="majorHAnsi" w:hAnsiTheme="majorHAnsi"/>
                <w:i/>
              </w:rPr>
            </w:pPr>
            <w:r>
              <w:rPr>
                <w:rFonts w:asciiTheme="majorHAnsi" w:hAnsiTheme="majorHAnsi"/>
                <w:i/>
              </w:rPr>
              <w:t>87</w:t>
            </w:r>
            <w:r w:rsidRPr="008B0CBF">
              <w:rPr>
                <w:rFonts w:asciiTheme="majorHAnsi" w:hAnsiTheme="majorHAnsi"/>
                <w:i/>
              </w:rPr>
              <w:t>-89</w:t>
            </w:r>
          </w:p>
        </w:tc>
      </w:tr>
      <w:tr w:rsidR="001752D8" w:rsidTr="001752D8">
        <w:tc>
          <w:tcPr>
            <w:tcW w:w="828" w:type="dxa"/>
          </w:tcPr>
          <w:p w:rsidR="001752D8" w:rsidRPr="008B0CBF" w:rsidRDefault="001752D8" w:rsidP="00F500C5">
            <w:pPr>
              <w:rPr>
                <w:rFonts w:asciiTheme="majorHAnsi" w:hAnsiTheme="majorHAnsi"/>
                <w:b/>
              </w:rPr>
            </w:pPr>
            <w:r w:rsidRPr="008B0CBF">
              <w:rPr>
                <w:rFonts w:asciiTheme="majorHAnsi" w:hAnsiTheme="majorHAnsi"/>
                <w:b/>
              </w:rPr>
              <w:t xml:space="preserve">    B</w:t>
            </w:r>
          </w:p>
        </w:tc>
        <w:tc>
          <w:tcPr>
            <w:tcW w:w="1485" w:type="dxa"/>
          </w:tcPr>
          <w:p w:rsidR="001752D8" w:rsidRPr="008B0CBF" w:rsidRDefault="001752D8" w:rsidP="00F500C5">
            <w:pPr>
              <w:jc w:val="center"/>
              <w:rPr>
                <w:rFonts w:asciiTheme="majorHAnsi" w:hAnsiTheme="majorHAnsi"/>
                <w:i/>
              </w:rPr>
            </w:pPr>
            <w:r>
              <w:rPr>
                <w:rFonts w:asciiTheme="majorHAnsi" w:hAnsiTheme="majorHAnsi"/>
                <w:i/>
              </w:rPr>
              <w:t>83</w:t>
            </w:r>
            <w:r w:rsidRPr="008B0CBF">
              <w:rPr>
                <w:rFonts w:asciiTheme="majorHAnsi" w:hAnsiTheme="majorHAnsi"/>
                <w:i/>
              </w:rPr>
              <w:t>-86</w:t>
            </w:r>
          </w:p>
        </w:tc>
      </w:tr>
      <w:tr w:rsidR="001752D8" w:rsidTr="001752D8">
        <w:tc>
          <w:tcPr>
            <w:tcW w:w="828" w:type="dxa"/>
          </w:tcPr>
          <w:p w:rsidR="001752D8" w:rsidRPr="008B0CBF" w:rsidRDefault="001752D8" w:rsidP="00F500C5">
            <w:pPr>
              <w:rPr>
                <w:rFonts w:asciiTheme="majorHAnsi" w:hAnsiTheme="majorHAnsi"/>
                <w:b/>
              </w:rPr>
            </w:pPr>
            <w:r w:rsidRPr="008B0CBF">
              <w:rPr>
                <w:rFonts w:asciiTheme="majorHAnsi" w:hAnsiTheme="majorHAnsi"/>
                <w:b/>
              </w:rPr>
              <w:t xml:space="preserve">    B-</w:t>
            </w:r>
          </w:p>
        </w:tc>
        <w:tc>
          <w:tcPr>
            <w:tcW w:w="1485" w:type="dxa"/>
          </w:tcPr>
          <w:p w:rsidR="001752D8" w:rsidRPr="008B0CBF" w:rsidRDefault="001752D8" w:rsidP="00F500C5">
            <w:pPr>
              <w:jc w:val="center"/>
              <w:rPr>
                <w:rFonts w:asciiTheme="majorHAnsi" w:hAnsiTheme="majorHAnsi"/>
                <w:i/>
              </w:rPr>
            </w:pPr>
            <w:r>
              <w:rPr>
                <w:rFonts w:asciiTheme="majorHAnsi" w:hAnsiTheme="majorHAnsi"/>
                <w:i/>
              </w:rPr>
              <w:t>80</w:t>
            </w:r>
            <w:r w:rsidRPr="008B0CBF">
              <w:rPr>
                <w:rFonts w:asciiTheme="majorHAnsi" w:hAnsiTheme="majorHAnsi"/>
                <w:i/>
              </w:rPr>
              <w:t>-82</w:t>
            </w:r>
          </w:p>
        </w:tc>
      </w:tr>
      <w:tr w:rsidR="001752D8" w:rsidTr="001752D8">
        <w:tc>
          <w:tcPr>
            <w:tcW w:w="828" w:type="dxa"/>
          </w:tcPr>
          <w:p w:rsidR="001752D8" w:rsidRPr="008B0CBF" w:rsidRDefault="001752D8" w:rsidP="00F500C5">
            <w:pPr>
              <w:rPr>
                <w:rFonts w:asciiTheme="majorHAnsi" w:hAnsiTheme="majorHAnsi"/>
                <w:b/>
              </w:rPr>
            </w:pPr>
            <w:r w:rsidRPr="008B0CBF">
              <w:rPr>
                <w:rFonts w:asciiTheme="majorHAnsi" w:hAnsiTheme="majorHAnsi"/>
                <w:b/>
              </w:rPr>
              <w:t xml:space="preserve">    C+</w:t>
            </w:r>
          </w:p>
        </w:tc>
        <w:tc>
          <w:tcPr>
            <w:tcW w:w="1485" w:type="dxa"/>
          </w:tcPr>
          <w:p w:rsidR="001752D8" w:rsidRPr="008B0CBF" w:rsidRDefault="001752D8" w:rsidP="00F500C5">
            <w:pPr>
              <w:jc w:val="center"/>
              <w:rPr>
                <w:rFonts w:asciiTheme="majorHAnsi" w:hAnsiTheme="majorHAnsi"/>
                <w:i/>
              </w:rPr>
            </w:pPr>
            <w:r>
              <w:rPr>
                <w:rFonts w:asciiTheme="majorHAnsi" w:hAnsiTheme="majorHAnsi"/>
                <w:i/>
              </w:rPr>
              <w:t>77</w:t>
            </w:r>
            <w:r w:rsidRPr="008B0CBF">
              <w:rPr>
                <w:rFonts w:asciiTheme="majorHAnsi" w:hAnsiTheme="majorHAnsi"/>
                <w:i/>
              </w:rPr>
              <w:t>-79</w:t>
            </w:r>
          </w:p>
        </w:tc>
      </w:tr>
      <w:tr w:rsidR="001752D8" w:rsidTr="001752D8">
        <w:tc>
          <w:tcPr>
            <w:tcW w:w="828" w:type="dxa"/>
          </w:tcPr>
          <w:p w:rsidR="001752D8" w:rsidRPr="008B0CBF" w:rsidRDefault="001752D8" w:rsidP="00F500C5">
            <w:pPr>
              <w:rPr>
                <w:rFonts w:asciiTheme="majorHAnsi" w:hAnsiTheme="majorHAnsi"/>
                <w:b/>
              </w:rPr>
            </w:pPr>
            <w:r w:rsidRPr="008B0CBF">
              <w:rPr>
                <w:rFonts w:asciiTheme="majorHAnsi" w:hAnsiTheme="majorHAnsi"/>
                <w:b/>
              </w:rPr>
              <w:t xml:space="preserve">    C</w:t>
            </w:r>
          </w:p>
        </w:tc>
        <w:tc>
          <w:tcPr>
            <w:tcW w:w="1485" w:type="dxa"/>
          </w:tcPr>
          <w:p w:rsidR="001752D8" w:rsidRPr="008B0CBF" w:rsidRDefault="001752D8" w:rsidP="00F500C5">
            <w:pPr>
              <w:jc w:val="center"/>
              <w:rPr>
                <w:rFonts w:asciiTheme="majorHAnsi" w:hAnsiTheme="majorHAnsi"/>
                <w:i/>
              </w:rPr>
            </w:pPr>
            <w:r>
              <w:rPr>
                <w:rFonts w:asciiTheme="majorHAnsi" w:hAnsiTheme="majorHAnsi"/>
                <w:noProof/>
              </w:rPr>
              <mc:AlternateContent>
                <mc:Choice Requires="wps">
                  <w:drawing>
                    <wp:anchor distT="0" distB="0" distL="114300" distR="114300" simplePos="0" relativeHeight="251659264" behindDoc="0" locked="0" layoutInCell="1" allowOverlap="1" wp14:anchorId="3BE685FB" wp14:editId="15AECF25">
                      <wp:simplePos x="0" y="0"/>
                      <wp:positionH relativeFrom="column">
                        <wp:posOffset>1051560</wp:posOffset>
                      </wp:positionH>
                      <wp:positionV relativeFrom="paragraph">
                        <wp:posOffset>151130</wp:posOffset>
                      </wp:positionV>
                      <wp:extent cx="4231640" cy="850265"/>
                      <wp:effectExtent l="0" t="0" r="16510" b="260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850265"/>
                              </a:xfrm>
                              <a:prstGeom prst="rect">
                                <a:avLst/>
                              </a:prstGeom>
                              <a:solidFill>
                                <a:srgbClr val="FFFFFF"/>
                              </a:solidFill>
                              <a:ln w="9525">
                                <a:solidFill>
                                  <a:srgbClr val="000000"/>
                                </a:solidFill>
                                <a:miter lim="800000"/>
                                <a:headEnd/>
                                <a:tailEnd/>
                              </a:ln>
                            </wps:spPr>
                            <wps:txbx>
                              <w:txbxContent>
                                <w:p w:rsidR="001752D8" w:rsidRPr="00613531" w:rsidRDefault="001752D8" w:rsidP="001752D8">
                                  <w:pPr>
                                    <w:rPr>
                                      <w:b/>
                                    </w:rPr>
                                  </w:pPr>
                                  <w:r w:rsidRPr="00613531">
                                    <w:rPr>
                                      <w:b/>
                                    </w:rPr>
                                    <w:t xml:space="preserve">Alternate Scale:  </w:t>
                                  </w:r>
                                  <w:r w:rsidRPr="00613531">
                                    <w:t>A course may use an alternate grading scale in which a student earning a grade below 70% would receive a NY (3</w:t>
                                  </w:r>
                                  <w:r w:rsidRPr="00613531">
                                    <w:rPr>
                                      <w:vertAlign w:val="superscript"/>
                                    </w:rPr>
                                    <w:t>rd</w:t>
                                  </w:r>
                                  <w:r w:rsidRPr="00613531">
                                    <w:t xml:space="preserve"> grade) or an E (high school courses - this exception must be included with the course description in the annual course catalog).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CB247E" id="_x0000_s1029" type="#_x0000_t202" style="position:absolute;left:0;text-align:left;margin-left:82.8pt;margin-top:11.9pt;width:333.2pt;height:6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">
                      <v:textbox>
                        <w:txbxContent>
                          <w:p w:rsidR="001752D8" w:rsidRPr="00613531" w:rsidRDefault="001752D8" w:rsidP="001752D8">
                            <w:pPr>
                              <w:rPr>
                                <w:b/>
                              </w:rPr>
                            </w:pPr>
                            <w:r w:rsidRPr="00613531">
                              <w:rPr>
                                <w:b/>
                              </w:rPr>
                              <w:t xml:space="preserve">Alternate Scale:  </w:t>
                            </w:r>
                            <w:r w:rsidRPr="00613531">
                              <w:t>A course may use an alternate grading scale in which a student earning a grade below 70% would receive a NY (3</w:t>
                            </w:r>
                            <w:r w:rsidRPr="00613531">
                              <w:rPr>
                                <w:vertAlign w:val="superscript"/>
                              </w:rPr>
                              <w:t>rd</w:t>
                            </w:r>
                            <w:r w:rsidRPr="00613531">
                              <w:t xml:space="preserve"> grade) or an E (high school courses - this exception must be included with the course description in the annual course catalog).</w:t>
                            </w:r>
                          </w:p>
                        </w:txbxContent>
                      </v:textbox>
                    </v:shape>
                  </w:pict>
                </mc:Fallback>
              </mc:AlternateContent>
            </w:r>
            <w:r>
              <w:rPr>
                <w:rFonts w:asciiTheme="majorHAnsi" w:hAnsiTheme="majorHAnsi"/>
                <w:i/>
              </w:rPr>
              <w:t>73</w:t>
            </w:r>
            <w:r w:rsidRPr="008B0CBF">
              <w:rPr>
                <w:rFonts w:asciiTheme="majorHAnsi" w:hAnsiTheme="majorHAnsi"/>
                <w:i/>
              </w:rPr>
              <w:t>-76</w:t>
            </w:r>
          </w:p>
        </w:tc>
      </w:tr>
      <w:tr w:rsidR="001752D8" w:rsidTr="001752D8">
        <w:tc>
          <w:tcPr>
            <w:tcW w:w="828" w:type="dxa"/>
          </w:tcPr>
          <w:p w:rsidR="001752D8" w:rsidRPr="008B0CBF" w:rsidRDefault="001752D8" w:rsidP="00F500C5">
            <w:pPr>
              <w:rPr>
                <w:rFonts w:asciiTheme="majorHAnsi" w:hAnsiTheme="majorHAnsi"/>
                <w:b/>
              </w:rPr>
            </w:pPr>
            <w:r w:rsidRPr="008B0CBF">
              <w:rPr>
                <w:rFonts w:asciiTheme="majorHAnsi" w:hAnsiTheme="majorHAnsi"/>
                <w:b/>
              </w:rPr>
              <w:t xml:space="preserve">    C-</w:t>
            </w:r>
          </w:p>
        </w:tc>
        <w:tc>
          <w:tcPr>
            <w:tcW w:w="1485" w:type="dxa"/>
          </w:tcPr>
          <w:p w:rsidR="001752D8" w:rsidRPr="008B0CBF" w:rsidRDefault="001752D8" w:rsidP="00F500C5">
            <w:pPr>
              <w:jc w:val="center"/>
              <w:rPr>
                <w:rFonts w:asciiTheme="majorHAnsi" w:hAnsiTheme="majorHAnsi"/>
                <w:i/>
              </w:rPr>
            </w:pPr>
            <w:r>
              <w:rPr>
                <w:rFonts w:asciiTheme="majorHAnsi" w:hAnsiTheme="majorHAnsi"/>
                <w:i/>
              </w:rPr>
              <w:t>70-72</w:t>
            </w:r>
          </w:p>
        </w:tc>
      </w:tr>
      <w:tr w:rsidR="001752D8" w:rsidTr="001752D8">
        <w:tc>
          <w:tcPr>
            <w:tcW w:w="828" w:type="dxa"/>
          </w:tcPr>
          <w:p w:rsidR="001752D8" w:rsidRPr="008B0CBF" w:rsidRDefault="001752D8" w:rsidP="00F500C5">
            <w:pPr>
              <w:rPr>
                <w:rFonts w:asciiTheme="majorHAnsi" w:hAnsiTheme="majorHAnsi"/>
                <w:b/>
              </w:rPr>
            </w:pPr>
            <w:r w:rsidRPr="008B0CBF">
              <w:rPr>
                <w:rFonts w:asciiTheme="majorHAnsi" w:hAnsiTheme="majorHAnsi"/>
                <w:b/>
              </w:rPr>
              <w:t xml:space="preserve">    D+</w:t>
            </w:r>
          </w:p>
        </w:tc>
        <w:tc>
          <w:tcPr>
            <w:tcW w:w="1485" w:type="dxa"/>
          </w:tcPr>
          <w:p w:rsidR="001752D8" w:rsidRPr="008B0CBF" w:rsidRDefault="001752D8" w:rsidP="00F500C5">
            <w:pPr>
              <w:jc w:val="center"/>
              <w:rPr>
                <w:rFonts w:asciiTheme="majorHAnsi" w:hAnsiTheme="majorHAnsi"/>
                <w:i/>
              </w:rPr>
            </w:pPr>
            <w:r>
              <w:rPr>
                <w:rFonts w:asciiTheme="majorHAnsi" w:hAnsiTheme="majorHAnsi"/>
                <w:i/>
              </w:rPr>
              <w:t>67-69</w:t>
            </w:r>
          </w:p>
        </w:tc>
      </w:tr>
      <w:tr w:rsidR="001752D8" w:rsidTr="001752D8">
        <w:tc>
          <w:tcPr>
            <w:tcW w:w="828" w:type="dxa"/>
          </w:tcPr>
          <w:p w:rsidR="001752D8" w:rsidRPr="008B0CBF" w:rsidRDefault="001752D8" w:rsidP="00F500C5">
            <w:pPr>
              <w:rPr>
                <w:rFonts w:asciiTheme="majorHAnsi" w:hAnsiTheme="majorHAnsi"/>
                <w:b/>
              </w:rPr>
            </w:pPr>
            <w:r w:rsidRPr="008B0CBF">
              <w:rPr>
                <w:rFonts w:asciiTheme="majorHAnsi" w:hAnsiTheme="majorHAnsi"/>
                <w:b/>
              </w:rPr>
              <w:t xml:space="preserve">    D</w:t>
            </w:r>
          </w:p>
        </w:tc>
        <w:tc>
          <w:tcPr>
            <w:tcW w:w="1485" w:type="dxa"/>
          </w:tcPr>
          <w:p w:rsidR="001752D8" w:rsidRPr="008B0CBF" w:rsidRDefault="001752D8" w:rsidP="00F500C5">
            <w:pPr>
              <w:jc w:val="center"/>
              <w:rPr>
                <w:rFonts w:asciiTheme="majorHAnsi" w:hAnsiTheme="majorHAnsi"/>
                <w:i/>
              </w:rPr>
            </w:pPr>
            <w:r>
              <w:rPr>
                <w:rFonts w:asciiTheme="majorHAnsi" w:hAnsiTheme="majorHAnsi"/>
                <w:i/>
              </w:rPr>
              <w:t>63</w:t>
            </w:r>
            <w:r w:rsidRPr="008B0CBF">
              <w:rPr>
                <w:rFonts w:asciiTheme="majorHAnsi" w:hAnsiTheme="majorHAnsi"/>
                <w:i/>
              </w:rPr>
              <w:t>-66</w:t>
            </w:r>
          </w:p>
        </w:tc>
      </w:tr>
      <w:tr w:rsidR="001752D8" w:rsidTr="001752D8">
        <w:tc>
          <w:tcPr>
            <w:tcW w:w="828" w:type="dxa"/>
          </w:tcPr>
          <w:p w:rsidR="001752D8" w:rsidRPr="008B0CBF" w:rsidRDefault="001752D8" w:rsidP="00F500C5">
            <w:pPr>
              <w:rPr>
                <w:rFonts w:asciiTheme="majorHAnsi" w:hAnsiTheme="majorHAnsi"/>
                <w:b/>
              </w:rPr>
            </w:pPr>
            <w:r w:rsidRPr="008B0CBF">
              <w:rPr>
                <w:rFonts w:asciiTheme="majorHAnsi" w:hAnsiTheme="majorHAnsi"/>
                <w:b/>
              </w:rPr>
              <w:t xml:space="preserve">    D-</w:t>
            </w:r>
          </w:p>
        </w:tc>
        <w:tc>
          <w:tcPr>
            <w:tcW w:w="1485" w:type="dxa"/>
          </w:tcPr>
          <w:p w:rsidR="001752D8" w:rsidRPr="008B0CBF" w:rsidRDefault="001752D8" w:rsidP="00F500C5">
            <w:pPr>
              <w:jc w:val="center"/>
              <w:rPr>
                <w:rFonts w:asciiTheme="majorHAnsi" w:hAnsiTheme="majorHAnsi"/>
                <w:i/>
              </w:rPr>
            </w:pPr>
            <w:r>
              <w:rPr>
                <w:rFonts w:asciiTheme="majorHAnsi" w:hAnsiTheme="majorHAnsi"/>
                <w:i/>
              </w:rPr>
              <w:t>60</w:t>
            </w:r>
            <w:r w:rsidRPr="008B0CBF">
              <w:rPr>
                <w:rFonts w:asciiTheme="majorHAnsi" w:hAnsiTheme="majorHAnsi"/>
                <w:i/>
              </w:rPr>
              <w:t>-62</w:t>
            </w:r>
          </w:p>
        </w:tc>
      </w:tr>
      <w:tr w:rsidR="001752D8" w:rsidTr="001752D8">
        <w:tc>
          <w:tcPr>
            <w:tcW w:w="828" w:type="dxa"/>
          </w:tcPr>
          <w:p w:rsidR="001752D8" w:rsidRPr="008B0CBF" w:rsidRDefault="001752D8" w:rsidP="00F500C5">
            <w:pPr>
              <w:rPr>
                <w:rFonts w:asciiTheme="majorHAnsi" w:hAnsiTheme="majorHAnsi"/>
                <w:b/>
              </w:rPr>
            </w:pPr>
            <w:r w:rsidRPr="008B0CBF">
              <w:rPr>
                <w:rFonts w:asciiTheme="majorHAnsi" w:hAnsiTheme="majorHAnsi"/>
                <w:b/>
              </w:rPr>
              <w:t xml:space="preserve">    E</w:t>
            </w:r>
          </w:p>
        </w:tc>
        <w:tc>
          <w:tcPr>
            <w:tcW w:w="1485" w:type="dxa"/>
          </w:tcPr>
          <w:p w:rsidR="001752D8" w:rsidRPr="008B0CBF" w:rsidRDefault="00F36D05" w:rsidP="00F500C5">
            <w:pPr>
              <w:jc w:val="center"/>
              <w:rPr>
                <w:rFonts w:asciiTheme="majorHAnsi" w:hAnsiTheme="majorHAnsi"/>
                <w:i/>
              </w:rPr>
            </w:pPr>
            <w:r>
              <w:rPr>
                <w:rFonts w:asciiTheme="majorHAnsi" w:hAnsiTheme="majorHAnsi"/>
                <w:i/>
              </w:rPr>
              <w:t>Below 59</w:t>
            </w:r>
          </w:p>
        </w:tc>
      </w:tr>
    </w:tbl>
    <w:p w:rsidR="00C57D63" w:rsidRDefault="00C57D63" w:rsidP="00E231DC">
      <w:pPr>
        <w:rPr>
          <w:b/>
          <w:sz w:val="24"/>
          <w:szCs w:val="24"/>
        </w:rPr>
      </w:pPr>
    </w:p>
    <w:p w:rsidR="00840B90" w:rsidRDefault="00840B90" w:rsidP="00E231DC">
      <w:pPr>
        <w:rPr>
          <w:b/>
          <w:sz w:val="24"/>
          <w:szCs w:val="24"/>
        </w:rPr>
      </w:pPr>
    </w:p>
    <w:p w:rsidR="00D17080" w:rsidRDefault="004A540D" w:rsidP="00460565">
      <w:pPr>
        <w:rPr>
          <w:sz w:val="24"/>
          <w:szCs w:val="24"/>
        </w:rPr>
      </w:pPr>
      <w:r w:rsidRPr="00F36D05">
        <w:rPr>
          <w:b/>
          <w:sz w:val="24"/>
          <w:szCs w:val="24"/>
        </w:rPr>
        <w:t>Common Weighting</w:t>
      </w:r>
      <w:r w:rsidRPr="00F36D05">
        <w:rPr>
          <w:sz w:val="24"/>
          <w:szCs w:val="24"/>
        </w:rPr>
        <w:t>:</w:t>
      </w:r>
      <w:r w:rsidR="004A6581" w:rsidRPr="00F36D05">
        <w:rPr>
          <w:sz w:val="24"/>
          <w:szCs w:val="24"/>
        </w:rPr>
        <w:t xml:space="preserve">  </w:t>
      </w:r>
      <w:r w:rsidR="00D17080" w:rsidRPr="00F36D05">
        <w:rPr>
          <w:sz w:val="24"/>
          <w:szCs w:val="24"/>
        </w:rPr>
        <w:t>In accordance with best practices</w:t>
      </w:r>
      <w:r w:rsidR="00557F73" w:rsidRPr="00F36D05">
        <w:rPr>
          <w:sz w:val="24"/>
          <w:szCs w:val="24"/>
        </w:rPr>
        <w:t>, summative assessment will</w:t>
      </w:r>
      <w:r w:rsidR="00D17080" w:rsidRPr="00F36D05">
        <w:rPr>
          <w:sz w:val="24"/>
          <w:szCs w:val="24"/>
        </w:rPr>
        <w:t xml:space="preserve"> be weighted as a percentage greater than that of formative assessment. In order to best avoid inconsistencies between common course grading scales, teachers within ea</w:t>
      </w:r>
      <w:r w:rsidR="00232EB2" w:rsidRPr="00F36D05">
        <w:rPr>
          <w:sz w:val="24"/>
          <w:szCs w:val="24"/>
        </w:rPr>
        <w:t>ch course and grade level will</w:t>
      </w:r>
      <w:r w:rsidR="00D17080" w:rsidRPr="00F36D05">
        <w:rPr>
          <w:sz w:val="24"/>
          <w:szCs w:val="24"/>
        </w:rPr>
        <w:t xml:space="preserve"> collaborate to develop and utilize common and appropriate weighting with a minimum of </w:t>
      </w:r>
      <w:r w:rsidR="00F36D05">
        <w:rPr>
          <w:sz w:val="24"/>
          <w:szCs w:val="24"/>
        </w:rPr>
        <w:t xml:space="preserve">60% weight on summative assessments at the elementary level and a minimum of </w:t>
      </w:r>
      <w:r w:rsidR="00D17080" w:rsidRPr="00F36D05">
        <w:rPr>
          <w:sz w:val="24"/>
          <w:szCs w:val="24"/>
        </w:rPr>
        <w:t>70% weight on summative assessments</w:t>
      </w:r>
      <w:r w:rsidR="00F36D05">
        <w:rPr>
          <w:sz w:val="24"/>
          <w:szCs w:val="24"/>
        </w:rPr>
        <w:t xml:space="preserve"> at the secondary level</w:t>
      </w:r>
      <w:r w:rsidR="00D17080" w:rsidRPr="00F36D05">
        <w:rPr>
          <w:sz w:val="24"/>
          <w:szCs w:val="24"/>
        </w:rPr>
        <w:t xml:space="preserve">.   </w:t>
      </w:r>
    </w:p>
    <w:p w:rsidR="00CD49D9" w:rsidRPr="00F36D05" w:rsidRDefault="00CD49D9" w:rsidP="00460565">
      <w:pPr>
        <w:rPr>
          <w:sz w:val="24"/>
          <w:szCs w:val="24"/>
        </w:rPr>
      </w:pPr>
      <w:r>
        <w:rPr>
          <w:sz w:val="24"/>
          <w:szCs w:val="24"/>
        </w:rPr>
        <w:t>(NOTE:  Summative assessments are assessments “of” learning – they “summarize” the learning that has occurred.  Formative assessments are assessment “for” learning – they take place as learning is “formed” and help determine adjustments in instruction.)</w:t>
      </w:r>
    </w:p>
    <w:p w:rsidR="00840B90" w:rsidRDefault="00840B90" w:rsidP="00FF43A2">
      <w:pPr>
        <w:spacing w:after="0"/>
        <w:ind w:right="720"/>
        <w:rPr>
          <w:b/>
          <w:sz w:val="24"/>
          <w:szCs w:val="24"/>
        </w:rPr>
      </w:pPr>
    </w:p>
    <w:p w:rsidR="00DA3D3A" w:rsidRPr="00F36D05" w:rsidRDefault="00DA3D3A" w:rsidP="00FF43A2">
      <w:pPr>
        <w:spacing w:after="0"/>
        <w:ind w:right="720"/>
        <w:rPr>
          <w:sz w:val="24"/>
          <w:szCs w:val="24"/>
        </w:rPr>
      </w:pPr>
      <w:r w:rsidRPr="00F36D05">
        <w:rPr>
          <w:b/>
          <w:sz w:val="24"/>
          <w:szCs w:val="24"/>
        </w:rPr>
        <w:t>Extra Credit</w:t>
      </w:r>
      <w:r w:rsidRPr="00F36D05">
        <w:rPr>
          <w:sz w:val="24"/>
          <w:szCs w:val="24"/>
        </w:rPr>
        <w:t xml:space="preserve">:  Grades are </w:t>
      </w:r>
      <w:r w:rsidRPr="00F36D05">
        <w:rPr>
          <w:sz w:val="24"/>
          <w:szCs w:val="24"/>
          <w:u w:val="single"/>
        </w:rPr>
        <w:t>not</w:t>
      </w:r>
      <w:r w:rsidRPr="00F36D05">
        <w:rPr>
          <w:sz w:val="24"/>
          <w:szCs w:val="24"/>
        </w:rPr>
        <w:t xml:space="preserve"> an effective commun</w:t>
      </w:r>
      <w:r w:rsidR="00380B88" w:rsidRPr="00F36D05">
        <w:rPr>
          <w:sz w:val="24"/>
          <w:szCs w:val="24"/>
        </w:rPr>
        <w:t>ication tool when credit is given</w:t>
      </w:r>
      <w:r w:rsidRPr="00F36D05">
        <w:rPr>
          <w:sz w:val="24"/>
          <w:szCs w:val="24"/>
        </w:rPr>
        <w:t xml:space="preserve"> for activities which do not demonstrate achievement of learning standards.  </w:t>
      </w:r>
      <w:r w:rsidR="00921891" w:rsidRPr="00F36D05">
        <w:rPr>
          <w:sz w:val="24"/>
          <w:szCs w:val="24"/>
        </w:rPr>
        <w:t>Therefore, extra credit due to non-academic factors (i.e. Kleenex, supplies, busy work, etc.) is not an acceptable grading practice.</w:t>
      </w:r>
    </w:p>
    <w:p w:rsidR="00840B90" w:rsidRDefault="00840B90" w:rsidP="00DA3D3A">
      <w:pPr>
        <w:rPr>
          <w:b/>
          <w:sz w:val="24"/>
          <w:szCs w:val="24"/>
        </w:rPr>
      </w:pPr>
    </w:p>
    <w:p w:rsidR="00FF43A2" w:rsidRPr="00F36D05" w:rsidRDefault="001B7991" w:rsidP="00DA3D3A">
      <w:pPr>
        <w:rPr>
          <w:b/>
          <w:sz w:val="24"/>
          <w:szCs w:val="24"/>
        </w:rPr>
      </w:pPr>
      <w:r w:rsidRPr="00F36D05">
        <w:rPr>
          <w:b/>
          <w:sz w:val="24"/>
          <w:szCs w:val="24"/>
        </w:rPr>
        <w:t>Retakes/</w:t>
      </w:r>
      <w:proofErr w:type="spellStart"/>
      <w:r w:rsidRPr="00F36D05">
        <w:rPr>
          <w:b/>
          <w:sz w:val="24"/>
          <w:szCs w:val="24"/>
        </w:rPr>
        <w:t>Redos</w:t>
      </w:r>
      <w:proofErr w:type="spellEnd"/>
      <w:r w:rsidRPr="00F36D05">
        <w:rPr>
          <w:b/>
          <w:sz w:val="24"/>
          <w:szCs w:val="24"/>
        </w:rPr>
        <w:t>:</w:t>
      </w:r>
      <w:r w:rsidR="00FF43A2" w:rsidRPr="00F36D05">
        <w:rPr>
          <w:b/>
          <w:sz w:val="24"/>
          <w:szCs w:val="24"/>
        </w:rPr>
        <w:t xml:space="preserve">  </w:t>
      </w:r>
      <w:r w:rsidR="00E806CE" w:rsidRPr="00F36D05">
        <w:rPr>
          <w:rFonts w:cs="Arial"/>
          <w:color w:val="000000"/>
          <w:sz w:val="24"/>
          <w:szCs w:val="24"/>
        </w:rPr>
        <w:t>Students will</w:t>
      </w:r>
      <w:r w:rsidRPr="00F36D05">
        <w:rPr>
          <w:rFonts w:cs="Arial"/>
          <w:color w:val="000000"/>
          <w:sz w:val="24"/>
          <w:szCs w:val="24"/>
        </w:rPr>
        <w:t xml:space="preserve"> have opportuniti</w:t>
      </w:r>
      <w:r w:rsidR="00DF54AD" w:rsidRPr="00F36D05">
        <w:rPr>
          <w:rFonts w:cs="Arial"/>
          <w:color w:val="000000"/>
          <w:sz w:val="24"/>
          <w:szCs w:val="24"/>
        </w:rPr>
        <w:t>es to demonstrate proficiency of</w:t>
      </w:r>
      <w:r w:rsidRPr="00F36D05">
        <w:rPr>
          <w:rFonts w:cs="Arial"/>
          <w:color w:val="000000"/>
          <w:sz w:val="24"/>
          <w:szCs w:val="24"/>
        </w:rPr>
        <w:t xml:space="preserve"> the learning standards.   Each department/grade level will create a </w:t>
      </w:r>
      <w:r w:rsidR="00840B90">
        <w:rPr>
          <w:rFonts w:cs="Arial"/>
          <w:color w:val="000000"/>
          <w:sz w:val="24"/>
          <w:szCs w:val="24"/>
        </w:rPr>
        <w:t xml:space="preserve">retake/redo </w:t>
      </w:r>
      <w:r w:rsidRPr="00F36D05">
        <w:rPr>
          <w:rFonts w:cs="Arial"/>
          <w:color w:val="000000"/>
          <w:sz w:val="24"/>
          <w:szCs w:val="24"/>
        </w:rPr>
        <w:t>policy that is supportive of student learning and responsibility yet addresses the unique needs for the grade level/course</w:t>
      </w:r>
      <w:r w:rsidR="00840B90">
        <w:rPr>
          <w:rFonts w:cs="Arial"/>
          <w:color w:val="000000"/>
          <w:sz w:val="24"/>
          <w:szCs w:val="24"/>
        </w:rPr>
        <w:t>.</w:t>
      </w:r>
      <w:r w:rsidRPr="00F36D05">
        <w:rPr>
          <w:rFonts w:cs="Arial"/>
          <w:color w:val="000000"/>
          <w:sz w:val="24"/>
          <w:szCs w:val="24"/>
        </w:rPr>
        <w:t xml:space="preserve"> </w:t>
      </w:r>
      <w:r w:rsidR="00840B90">
        <w:rPr>
          <w:rFonts w:cs="Arial"/>
          <w:color w:val="000000"/>
          <w:sz w:val="24"/>
          <w:szCs w:val="24"/>
        </w:rPr>
        <w:t xml:space="preserve"> This policy will be and</w:t>
      </w:r>
      <w:r w:rsidRPr="00F36D05">
        <w:rPr>
          <w:rFonts w:cs="Arial"/>
          <w:color w:val="000000"/>
          <w:sz w:val="24"/>
          <w:szCs w:val="24"/>
        </w:rPr>
        <w:t xml:space="preserve"> is consistent w</w:t>
      </w:r>
      <w:r w:rsidR="004A6581" w:rsidRPr="00F36D05">
        <w:rPr>
          <w:rFonts w:cs="Arial"/>
          <w:color w:val="000000"/>
          <w:sz w:val="24"/>
          <w:szCs w:val="24"/>
        </w:rPr>
        <w:t>ithin that grade level/course.</w:t>
      </w:r>
    </w:p>
    <w:p w:rsidR="00FF43A2" w:rsidRDefault="00FF43A2" w:rsidP="00DA3D3A">
      <w:pPr>
        <w:rPr>
          <w:rFonts w:cs="Arial"/>
          <w:color w:val="000000"/>
          <w:sz w:val="24"/>
          <w:szCs w:val="24"/>
        </w:rPr>
      </w:pPr>
    </w:p>
    <w:p w:rsidR="00396B46" w:rsidRDefault="00396B46" w:rsidP="00CD49D9">
      <w:pPr>
        <w:rPr>
          <w:b/>
          <w:sz w:val="28"/>
          <w:szCs w:val="28"/>
          <w:u w:val="single"/>
        </w:rPr>
      </w:pPr>
      <w:bookmarkStart w:id="0" w:name="_GoBack"/>
      <w:bookmarkEnd w:id="0"/>
    </w:p>
    <w:p w:rsidR="001B7991" w:rsidRPr="001B7991" w:rsidRDefault="001B7991" w:rsidP="005E7976">
      <w:pPr>
        <w:jc w:val="center"/>
        <w:rPr>
          <w:b/>
          <w:sz w:val="28"/>
          <w:szCs w:val="28"/>
          <w:u w:val="single"/>
        </w:rPr>
      </w:pPr>
      <w:r w:rsidRPr="001B7991">
        <w:rPr>
          <w:b/>
          <w:sz w:val="28"/>
          <w:szCs w:val="28"/>
          <w:u w:val="single"/>
        </w:rPr>
        <w:lastRenderedPageBreak/>
        <w:t>Valid</w:t>
      </w:r>
    </w:p>
    <w:p w:rsidR="00ED62F0" w:rsidRDefault="001B7991" w:rsidP="00DA3D3A">
      <w:pPr>
        <w:rPr>
          <w:sz w:val="24"/>
          <w:szCs w:val="24"/>
        </w:rPr>
      </w:pPr>
      <w:r w:rsidRPr="00F36D05">
        <w:rPr>
          <w:b/>
          <w:sz w:val="24"/>
          <w:szCs w:val="24"/>
        </w:rPr>
        <w:t>Separation of Academic and Non-Academic Factors:</w:t>
      </w:r>
      <w:r w:rsidR="00FF43A2" w:rsidRPr="00F36D05">
        <w:rPr>
          <w:b/>
          <w:sz w:val="24"/>
          <w:szCs w:val="24"/>
        </w:rPr>
        <w:t xml:space="preserve">  </w:t>
      </w:r>
      <w:r w:rsidRPr="00F36D05">
        <w:rPr>
          <w:sz w:val="24"/>
          <w:szCs w:val="24"/>
        </w:rPr>
        <w:t>In alignment with the purpose of a grade (to communicate achievement of learning standards), a</w:t>
      </w:r>
      <w:r w:rsidR="005E60D1" w:rsidRPr="00F36D05">
        <w:rPr>
          <w:sz w:val="24"/>
          <w:szCs w:val="24"/>
        </w:rPr>
        <w:t xml:space="preserve"> student’s academic grade will</w:t>
      </w:r>
      <w:r w:rsidRPr="00F36D05">
        <w:rPr>
          <w:sz w:val="24"/>
          <w:szCs w:val="24"/>
        </w:rPr>
        <w:t xml:space="preserve"> reflect his or her level of proficiency</w:t>
      </w:r>
      <w:r w:rsidR="00015E65" w:rsidRPr="00F36D05">
        <w:rPr>
          <w:sz w:val="24"/>
          <w:szCs w:val="24"/>
        </w:rPr>
        <w:t xml:space="preserve"> of learning standards.  N</w:t>
      </w:r>
      <w:r w:rsidRPr="00F36D05">
        <w:rPr>
          <w:sz w:val="24"/>
          <w:szCs w:val="24"/>
        </w:rPr>
        <w:t xml:space="preserve">on-academic factors such as </w:t>
      </w:r>
      <w:proofErr w:type="gramStart"/>
      <w:r w:rsidR="00015E65" w:rsidRPr="00F36D05">
        <w:rPr>
          <w:sz w:val="24"/>
          <w:szCs w:val="24"/>
        </w:rPr>
        <w:t>behavior,</w:t>
      </w:r>
      <w:proofErr w:type="gramEnd"/>
      <w:r w:rsidR="00015E65" w:rsidRPr="00F36D05">
        <w:rPr>
          <w:sz w:val="24"/>
          <w:szCs w:val="24"/>
        </w:rPr>
        <w:t xml:space="preserve"> will </w:t>
      </w:r>
      <w:r w:rsidRPr="00F36D05">
        <w:rPr>
          <w:sz w:val="24"/>
          <w:szCs w:val="24"/>
        </w:rPr>
        <w:t xml:space="preserve">be reported separately from academic achievement through </w:t>
      </w:r>
      <w:r w:rsidR="00015E65" w:rsidRPr="00F36D05">
        <w:rPr>
          <w:sz w:val="24"/>
          <w:szCs w:val="24"/>
        </w:rPr>
        <w:t>report card comments,</w:t>
      </w:r>
      <w:r w:rsidRPr="00F36D05">
        <w:rPr>
          <w:sz w:val="24"/>
          <w:szCs w:val="24"/>
        </w:rPr>
        <w:t xml:space="preserve"> citizenship, etc.</w:t>
      </w:r>
    </w:p>
    <w:p w:rsidR="00840B90" w:rsidRPr="00F36D05" w:rsidRDefault="00840B90" w:rsidP="00DA3D3A">
      <w:pPr>
        <w:rPr>
          <w:b/>
          <w:sz w:val="24"/>
          <w:szCs w:val="24"/>
        </w:rPr>
      </w:pPr>
    </w:p>
    <w:p w:rsidR="00015E65" w:rsidRPr="00F36D05" w:rsidRDefault="005E7976" w:rsidP="00015E65">
      <w:pPr>
        <w:rPr>
          <w:b/>
          <w:sz w:val="24"/>
          <w:szCs w:val="24"/>
        </w:rPr>
      </w:pPr>
      <w:r w:rsidRPr="00F36D05">
        <w:rPr>
          <w:b/>
          <w:sz w:val="24"/>
          <w:szCs w:val="24"/>
        </w:rPr>
        <w:t xml:space="preserve">Assessing </w:t>
      </w:r>
      <w:r w:rsidR="00ED62F0" w:rsidRPr="00F36D05">
        <w:rPr>
          <w:b/>
          <w:sz w:val="24"/>
          <w:szCs w:val="24"/>
        </w:rPr>
        <w:t xml:space="preserve">Proficiency of Course Standards:  </w:t>
      </w:r>
      <w:r w:rsidR="00ED62F0" w:rsidRPr="00F36D05">
        <w:rPr>
          <w:rFonts w:cs="Arial"/>
          <w:color w:val="000000"/>
          <w:sz w:val="24"/>
          <w:szCs w:val="24"/>
        </w:rPr>
        <w:t>Assessments determine acceptable evidence of student understanding</w:t>
      </w:r>
      <w:r w:rsidR="009E5357" w:rsidRPr="00F36D05">
        <w:rPr>
          <w:rFonts w:cs="Arial"/>
          <w:color w:val="000000"/>
          <w:sz w:val="24"/>
          <w:szCs w:val="24"/>
        </w:rPr>
        <w:t xml:space="preserve"> of the curriculum. </w:t>
      </w:r>
      <w:r w:rsidRPr="00F36D05">
        <w:rPr>
          <w:rFonts w:cs="Arial"/>
          <w:color w:val="000000"/>
          <w:sz w:val="24"/>
          <w:szCs w:val="24"/>
        </w:rPr>
        <w:t xml:space="preserve"> T</w:t>
      </w:r>
      <w:r w:rsidR="009E5357" w:rsidRPr="00F36D05">
        <w:rPr>
          <w:rFonts w:cs="Arial"/>
          <w:color w:val="000000"/>
          <w:sz w:val="24"/>
          <w:szCs w:val="24"/>
        </w:rPr>
        <w:t xml:space="preserve">he GBCS curriculum and daily learning targets are based on the State of Michigan content standards, </w:t>
      </w:r>
      <w:r w:rsidRPr="00F36D05">
        <w:rPr>
          <w:rFonts w:cs="Arial"/>
          <w:color w:val="000000"/>
          <w:sz w:val="24"/>
          <w:szCs w:val="24"/>
        </w:rPr>
        <w:t xml:space="preserve">and accordingly, </w:t>
      </w:r>
      <w:r w:rsidR="009E5357" w:rsidRPr="00F36D05">
        <w:rPr>
          <w:rFonts w:cs="Arial"/>
          <w:color w:val="000000"/>
          <w:sz w:val="24"/>
          <w:szCs w:val="24"/>
        </w:rPr>
        <w:t>assessments will be intentionally chosen or crafted that align with the content standards.</w:t>
      </w:r>
      <w:r w:rsidR="00CE6E22" w:rsidRPr="00F36D05">
        <w:rPr>
          <w:rFonts w:cs="Arial"/>
          <w:color w:val="000000"/>
          <w:sz w:val="24"/>
          <w:szCs w:val="24"/>
        </w:rPr>
        <w:t xml:space="preserve">  </w:t>
      </w:r>
    </w:p>
    <w:p w:rsidR="00A8412A" w:rsidRPr="00F36D05" w:rsidRDefault="00A8412A" w:rsidP="00015E65">
      <w:pPr>
        <w:rPr>
          <w:b/>
          <w:sz w:val="24"/>
          <w:szCs w:val="24"/>
        </w:rPr>
      </w:pPr>
    </w:p>
    <w:p w:rsidR="00ED62F0" w:rsidRPr="00F36D05" w:rsidRDefault="00ED62F0" w:rsidP="00DA3D3A">
      <w:pPr>
        <w:rPr>
          <w:sz w:val="24"/>
          <w:szCs w:val="24"/>
        </w:rPr>
      </w:pPr>
      <w:r w:rsidRPr="00F36D05">
        <w:rPr>
          <w:b/>
          <w:sz w:val="24"/>
          <w:szCs w:val="24"/>
        </w:rPr>
        <w:t xml:space="preserve">Quality </w:t>
      </w:r>
      <w:r w:rsidR="000B5F8D" w:rsidRPr="00F36D05">
        <w:rPr>
          <w:b/>
          <w:sz w:val="24"/>
          <w:szCs w:val="24"/>
        </w:rPr>
        <w:t>Assessments:</w:t>
      </w:r>
      <w:r w:rsidR="0031195D" w:rsidRPr="00F36D05">
        <w:rPr>
          <w:b/>
          <w:sz w:val="24"/>
          <w:szCs w:val="24"/>
        </w:rPr>
        <w:t xml:space="preserve">  </w:t>
      </w:r>
      <w:r w:rsidR="0031195D" w:rsidRPr="00F36D05">
        <w:rPr>
          <w:rFonts w:cs="Arial"/>
          <w:color w:val="000000"/>
          <w:sz w:val="24"/>
          <w:szCs w:val="24"/>
        </w:rPr>
        <w:t>Assessments are used for</w:t>
      </w:r>
      <w:r w:rsidR="00FF43A2" w:rsidRPr="00F36D05">
        <w:rPr>
          <w:rFonts w:cs="Arial"/>
          <w:color w:val="000000"/>
          <w:sz w:val="24"/>
          <w:szCs w:val="24"/>
        </w:rPr>
        <w:t xml:space="preserve"> different purposes</w:t>
      </w:r>
      <w:r w:rsidRPr="00F36D05">
        <w:rPr>
          <w:rFonts w:cs="Arial"/>
          <w:color w:val="000000"/>
          <w:sz w:val="24"/>
          <w:szCs w:val="24"/>
        </w:rPr>
        <w:t xml:space="preserve">.  </w:t>
      </w:r>
      <w:r w:rsidRPr="00F36D05">
        <w:rPr>
          <w:sz w:val="24"/>
          <w:szCs w:val="24"/>
        </w:rPr>
        <w:t xml:space="preserve">Summative assessments, by their definition, are primarily used when calculating a final marking period grade. </w:t>
      </w:r>
      <w:r w:rsidR="00A8412A" w:rsidRPr="00F36D05">
        <w:rPr>
          <w:sz w:val="24"/>
          <w:szCs w:val="24"/>
        </w:rPr>
        <w:t>W</w:t>
      </w:r>
      <w:r w:rsidR="0031195D" w:rsidRPr="00F36D05">
        <w:rPr>
          <w:sz w:val="24"/>
          <w:szCs w:val="24"/>
        </w:rPr>
        <w:t>h</w:t>
      </w:r>
      <w:r w:rsidR="005E7976" w:rsidRPr="00F36D05">
        <w:rPr>
          <w:sz w:val="24"/>
          <w:szCs w:val="24"/>
        </w:rPr>
        <w:t xml:space="preserve">enever possible, educators will </w:t>
      </w:r>
      <w:r w:rsidR="0031195D" w:rsidRPr="00F36D05">
        <w:rPr>
          <w:sz w:val="24"/>
          <w:szCs w:val="24"/>
        </w:rPr>
        <w:t>use a variety of assessment items and types in order to effectively address a range of cognitive demand and learner styles.</w:t>
      </w:r>
    </w:p>
    <w:p w:rsidR="00AD3FCE" w:rsidRDefault="00AD3FCE" w:rsidP="00DA3D3A">
      <w:pPr>
        <w:rPr>
          <w:sz w:val="24"/>
          <w:szCs w:val="24"/>
        </w:rPr>
      </w:pPr>
    </w:p>
    <w:p w:rsidR="00F35AE4" w:rsidRPr="003D2DCA" w:rsidRDefault="00F35AE4" w:rsidP="00F35AE4">
      <w:pPr>
        <w:jc w:val="center"/>
        <w:rPr>
          <w:b/>
          <w:sz w:val="28"/>
          <w:szCs w:val="28"/>
          <w:u w:val="single"/>
        </w:rPr>
      </w:pPr>
      <w:r w:rsidRPr="003D2DCA">
        <w:rPr>
          <w:b/>
          <w:sz w:val="28"/>
          <w:szCs w:val="28"/>
          <w:u w:val="single"/>
        </w:rPr>
        <w:t>Clearly Communicated</w:t>
      </w:r>
    </w:p>
    <w:p w:rsidR="00F35AE4" w:rsidRPr="00F36D05" w:rsidRDefault="00F35AE4" w:rsidP="00DA3D3A">
      <w:pPr>
        <w:rPr>
          <w:b/>
          <w:sz w:val="24"/>
          <w:szCs w:val="24"/>
        </w:rPr>
      </w:pPr>
      <w:r w:rsidRPr="00F36D05">
        <w:rPr>
          <w:b/>
          <w:sz w:val="24"/>
          <w:szCs w:val="24"/>
        </w:rPr>
        <w:t>Communication of Strengths and Weaknesses</w:t>
      </w:r>
      <w:r w:rsidR="00666913" w:rsidRPr="00F36D05">
        <w:rPr>
          <w:b/>
          <w:sz w:val="24"/>
          <w:szCs w:val="24"/>
        </w:rPr>
        <w:t>:</w:t>
      </w:r>
      <w:r w:rsidR="00FF43A2" w:rsidRPr="00F36D05">
        <w:rPr>
          <w:b/>
          <w:sz w:val="24"/>
          <w:szCs w:val="24"/>
        </w:rPr>
        <w:t xml:space="preserve">  </w:t>
      </w:r>
      <w:r w:rsidR="00817DF6" w:rsidRPr="00F36D05">
        <w:rPr>
          <w:sz w:val="24"/>
          <w:szCs w:val="24"/>
        </w:rPr>
        <w:t xml:space="preserve">Through the daily use of learning targets and alignment of assessments to content standards/learning targets, </w:t>
      </w:r>
      <w:r w:rsidR="005F69FA" w:rsidRPr="00F36D05">
        <w:rPr>
          <w:sz w:val="24"/>
          <w:szCs w:val="24"/>
        </w:rPr>
        <w:t xml:space="preserve">students and teachers will have knowledge of </w:t>
      </w:r>
      <w:r w:rsidR="00817DF6" w:rsidRPr="00F36D05">
        <w:rPr>
          <w:sz w:val="24"/>
          <w:szCs w:val="24"/>
        </w:rPr>
        <w:t>areas of strength and weakness with</w:t>
      </w:r>
      <w:r w:rsidR="006513CD" w:rsidRPr="00F36D05">
        <w:rPr>
          <w:sz w:val="24"/>
          <w:szCs w:val="24"/>
        </w:rPr>
        <w:t>in</w:t>
      </w:r>
      <w:r w:rsidR="00817DF6" w:rsidRPr="00F36D05">
        <w:rPr>
          <w:sz w:val="24"/>
          <w:szCs w:val="24"/>
        </w:rPr>
        <w:t xml:space="preserve"> an academic subject.  </w:t>
      </w:r>
      <w:r w:rsidR="005F69FA" w:rsidRPr="00F36D05">
        <w:rPr>
          <w:sz w:val="24"/>
          <w:szCs w:val="24"/>
        </w:rPr>
        <w:t xml:space="preserve">Accordingly, the overall grade will represent a combined communication of the standards which have been mastered and those not yet mastered.  </w:t>
      </w:r>
    </w:p>
    <w:p w:rsidR="00015E65" w:rsidRPr="00F36D05" w:rsidRDefault="00015E65" w:rsidP="00DA3D3A">
      <w:pPr>
        <w:rPr>
          <w:b/>
          <w:sz w:val="24"/>
          <w:szCs w:val="24"/>
        </w:rPr>
      </w:pPr>
    </w:p>
    <w:p w:rsidR="00246ECE" w:rsidRPr="00F36D05" w:rsidRDefault="00F35AE4" w:rsidP="00FF43A2">
      <w:pPr>
        <w:rPr>
          <w:b/>
          <w:sz w:val="24"/>
          <w:szCs w:val="24"/>
        </w:rPr>
      </w:pPr>
      <w:r w:rsidRPr="00F36D05">
        <w:rPr>
          <w:b/>
          <w:sz w:val="24"/>
          <w:szCs w:val="24"/>
        </w:rPr>
        <w:t xml:space="preserve">Formative </w:t>
      </w:r>
      <w:r w:rsidR="00ED62F0" w:rsidRPr="00F36D05">
        <w:rPr>
          <w:b/>
          <w:sz w:val="24"/>
          <w:szCs w:val="24"/>
        </w:rPr>
        <w:t>Feedback:</w:t>
      </w:r>
      <w:r w:rsidR="00FF43A2" w:rsidRPr="00F36D05">
        <w:rPr>
          <w:b/>
          <w:sz w:val="24"/>
          <w:szCs w:val="24"/>
        </w:rPr>
        <w:t xml:space="preserve">  </w:t>
      </w:r>
      <w:r w:rsidR="005F69FA" w:rsidRPr="00F36D05">
        <w:rPr>
          <w:sz w:val="24"/>
          <w:szCs w:val="24"/>
        </w:rPr>
        <w:t>A</w:t>
      </w:r>
      <w:r w:rsidR="00246ECE" w:rsidRPr="00F36D05">
        <w:rPr>
          <w:sz w:val="24"/>
          <w:szCs w:val="24"/>
        </w:rPr>
        <w:t>s student progr</w:t>
      </w:r>
      <w:r w:rsidR="00385F9F" w:rsidRPr="00F36D05">
        <w:rPr>
          <w:sz w:val="24"/>
          <w:szCs w:val="24"/>
        </w:rPr>
        <w:t xml:space="preserve">ess is monitored over time, </w:t>
      </w:r>
      <w:r w:rsidR="006513CD" w:rsidRPr="00F36D05">
        <w:rPr>
          <w:sz w:val="24"/>
          <w:szCs w:val="24"/>
        </w:rPr>
        <w:t>learning will</w:t>
      </w:r>
      <w:r w:rsidR="005F69FA" w:rsidRPr="00F36D05">
        <w:rPr>
          <w:sz w:val="24"/>
          <w:szCs w:val="24"/>
        </w:rPr>
        <w:t xml:space="preserve"> improve</w:t>
      </w:r>
      <w:r w:rsidR="00246ECE" w:rsidRPr="00F36D05">
        <w:rPr>
          <w:sz w:val="24"/>
          <w:szCs w:val="24"/>
        </w:rPr>
        <w:t>, and the more recent grades will serve as the more accurate indicator of student proficiency.</w:t>
      </w:r>
      <w:r w:rsidR="00792120" w:rsidRPr="00F36D05">
        <w:rPr>
          <w:sz w:val="24"/>
          <w:szCs w:val="24"/>
        </w:rPr>
        <w:t xml:space="preserve">  Accordingly, s</w:t>
      </w:r>
      <w:r w:rsidR="00FC00FB" w:rsidRPr="00F36D05">
        <w:rPr>
          <w:sz w:val="24"/>
          <w:szCs w:val="24"/>
        </w:rPr>
        <w:t>ummative assessment will</w:t>
      </w:r>
      <w:r w:rsidR="002B2FBA" w:rsidRPr="00F36D05">
        <w:rPr>
          <w:sz w:val="24"/>
          <w:szCs w:val="24"/>
        </w:rPr>
        <w:t xml:space="preserve"> be administered after sufficient formative assessments have communicated academic progress to students and teacher.  </w:t>
      </w:r>
    </w:p>
    <w:p w:rsidR="00246ECE" w:rsidRPr="00F36D05" w:rsidRDefault="00246ECE" w:rsidP="00DA3D3A">
      <w:pPr>
        <w:rPr>
          <w:sz w:val="24"/>
          <w:szCs w:val="24"/>
        </w:rPr>
      </w:pPr>
    </w:p>
    <w:p w:rsidR="002B2FBA" w:rsidRPr="00F36D05" w:rsidRDefault="00F35AE4" w:rsidP="00A8412A">
      <w:pPr>
        <w:rPr>
          <w:b/>
          <w:sz w:val="24"/>
          <w:szCs w:val="24"/>
        </w:rPr>
      </w:pPr>
      <w:r w:rsidRPr="00F36D05">
        <w:rPr>
          <w:b/>
          <w:sz w:val="24"/>
          <w:szCs w:val="24"/>
        </w:rPr>
        <w:t>Communication</w:t>
      </w:r>
      <w:r w:rsidR="00FF43A2" w:rsidRPr="00F36D05">
        <w:rPr>
          <w:b/>
          <w:sz w:val="24"/>
          <w:szCs w:val="24"/>
        </w:rPr>
        <w:t xml:space="preserve"> amongst stakeholders</w:t>
      </w:r>
      <w:r w:rsidR="00666913" w:rsidRPr="00F36D05">
        <w:rPr>
          <w:b/>
          <w:sz w:val="24"/>
          <w:szCs w:val="24"/>
        </w:rPr>
        <w:t>:</w:t>
      </w:r>
      <w:r w:rsidR="00FF43A2" w:rsidRPr="00F36D05">
        <w:rPr>
          <w:b/>
          <w:sz w:val="24"/>
          <w:szCs w:val="24"/>
        </w:rPr>
        <w:t xml:space="preserve">  </w:t>
      </w:r>
      <w:r w:rsidR="00CE46A3" w:rsidRPr="00F36D05">
        <w:rPr>
          <w:sz w:val="24"/>
          <w:szCs w:val="24"/>
        </w:rPr>
        <w:t>E</w:t>
      </w:r>
      <w:r w:rsidR="008E3111" w:rsidRPr="00F36D05">
        <w:rPr>
          <w:sz w:val="24"/>
          <w:szCs w:val="24"/>
        </w:rPr>
        <w:t>ducators within the same subject/grade level will collaborate, develop, and agree on specific grading practices appropriate for the subject/grade level to facilitate consistency within the subject/grade level.  In addition, these specific grading practices will be communicated with both students and parents at the beginning of the school</w:t>
      </w:r>
      <w:r w:rsidR="00CE46A3" w:rsidRPr="00F36D05">
        <w:rPr>
          <w:sz w:val="24"/>
          <w:szCs w:val="24"/>
        </w:rPr>
        <w:t xml:space="preserve"> year/semester. </w:t>
      </w:r>
    </w:p>
    <w:sectPr w:rsidR="002B2FBA" w:rsidRPr="00F36D0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564" w:rsidRDefault="00B01564" w:rsidP="00B31C96">
      <w:pPr>
        <w:spacing w:after="0" w:line="240" w:lineRule="auto"/>
      </w:pPr>
      <w:r>
        <w:separator/>
      </w:r>
    </w:p>
  </w:endnote>
  <w:endnote w:type="continuationSeparator" w:id="0">
    <w:p w:rsidR="00B01564" w:rsidRDefault="00B01564" w:rsidP="00B31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564" w:rsidRDefault="00B01564" w:rsidP="00B31C96">
      <w:pPr>
        <w:spacing w:after="0" w:line="240" w:lineRule="auto"/>
      </w:pPr>
      <w:r>
        <w:separator/>
      </w:r>
    </w:p>
  </w:footnote>
  <w:footnote w:type="continuationSeparator" w:id="0">
    <w:p w:rsidR="00B01564" w:rsidRDefault="00B01564" w:rsidP="00B31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B90" w:rsidRDefault="00840B90">
    <w:pPr>
      <w:pStyle w:val="Header"/>
    </w:pPr>
    <w:r>
      <w:t>3-16-15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C6E6A"/>
    <w:multiLevelType w:val="hybridMultilevel"/>
    <w:tmpl w:val="01600718"/>
    <w:lvl w:ilvl="0" w:tplc="CE229CC0">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
    <w:nsid w:val="1AA56EC6"/>
    <w:multiLevelType w:val="hybridMultilevel"/>
    <w:tmpl w:val="6FD4B544"/>
    <w:lvl w:ilvl="0" w:tplc="776013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E5431D"/>
    <w:multiLevelType w:val="hybridMultilevel"/>
    <w:tmpl w:val="1E02A2B0"/>
    <w:lvl w:ilvl="0" w:tplc="9BB2A546">
      <w:numFmt w:val="bullet"/>
      <w:lvlText w:val="-"/>
      <w:lvlJc w:val="left"/>
      <w:pPr>
        <w:ind w:left="390" w:hanging="360"/>
      </w:pPr>
      <w:rPr>
        <w:rFonts w:ascii="Cambria" w:eastAsiaTheme="minorHAnsi" w:hAnsi="Cambria"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
    <w:nsid w:val="4BB06D63"/>
    <w:multiLevelType w:val="hybridMultilevel"/>
    <w:tmpl w:val="3260DD9A"/>
    <w:lvl w:ilvl="0" w:tplc="2C94A938">
      <w:numFmt w:val="bullet"/>
      <w:lvlText w:val="-"/>
      <w:lvlJc w:val="left"/>
      <w:pPr>
        <w:ind w:left="390" w:hanging="360"/>
      </w:pPr>
      <w:rPr>
        <w:rFonts w:ascii="Cambria" w:eastAsiaTheme="minorHAnsi" w:hAnsi="Cambria" w:cstheme="minorBidi" w:hint="default"/>
      </w:rPr>
    </w:lvl>
    <w:lvl w:ilvl="1" w:tplc="04090003">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4">
    <w:nsid w:val="56066946"/>
    <w:multiLevelType w:val="hybridMultilevel"/>
    <w:tmpl w:val="E43C533C"/>
    <w:lvl w:ilvl="0" w:tplc="9E80FFDA">
      <w:start w:val="1"/>
      <w:numFmt w:val="bullet"/>
      <w:lvlText w:val="•"/>
      <w:lvlJc w:val="left"/>
      <w:pPr>
        <w:tabs>
          <w:tab w:val="num" w:pos="720"/>
        </w:tabs>
        <w:ind w:left="720" w:hanging="360"/>
      </w:pPr>
      <w:rPr>
        <w:rFonts w:ascii="Arial" w:hAnsi="Arial" w:hint="default"/>
      </w:rPr>
    </w:lvl>
    <w:lvl w:ilvl="1" w:tplc="14541958" w:tentative="1">
      <w:start w:val="1"/>
      <w:numFmt w:val="bullet"/>
      <w:lvlText w:val="•"/>
      <w:lvlJc w:val="left"/>
      <w:pPr>
        <w:tabs>
          <w:tab w:val="num" w:pos="1440"/>
        </w:tabs>
        <w:ind w:left="1440" w:hanging="360"/>
      </w:pPr>
      <w:rPr>
        <w:rFonts w:ascii="Arial" w:hAnsi="Arial" w:hint="default"/>
      </w:rPr>
    </w:lvl>
    <w:lvl w:ilvl="2" w:tplc="8BBAE552" w:tentative="1">
      <w:start w:val="1"/>
      <w:numFmt w:val="bullet"/>
      <w:lvlText w:val="•"/>
      <w:lvlJc w:val="left"/>
      <w:pPr>
        <w:tabs>
          <w:tab w:val="num" w:pos="2160"/>
        </w:tabs>
        <w:ind w:left="2160" w:hanging="360"/>
      </w:pPr>
      <w:rPr>
        <w:rFonts w:ascii="Arial" w:hAnsi="Arial" w:hint="default"/>
      </w:rPr>
    </w:lvl>
    <w:lvl w:ilvl="3" w:tplc="1894353C" w:tentative="1">
      <w:start w:val="1"/>
      <w:numFmt w:val="bullet"/>
      <w:lvlText w:val="•"/>
      <w:lvlJc w:val="left"/>
      <w:pPr>
        <w:tabs>
          <w:tab w:val="num" w:pos="2880"/>
        </w:tabs>
        <w:ind w:left="2880" w:hanging="360"/>
      </w:pPr>
      <w:rPr>
        <w:rFonts w:ascii="Arial" w:hAnsi="Arial" w:hint="default"/>
      </w:rPr>
    </w:lvl>
    <w:lvl w:ilvl="4" w:tplc="AF0A954E" w:tentative="1">
      <w:start w:val="1"/>
      <w:numFmt w:val="bullet"/>
      <w:lvlText w:val="•"/>
      <w:lvlJc w:val="left"/>
      <w:pPr>
        <w:tabs>
          <w:tab w:val="num" w:pos="3600"/>
        </w:tabs>
        <w:ind w:left="3600" w:hanging="360"/>
      </w:pPr>
      <w:rPr>
        <w:rFonts w:ascii="Arial" w:hAnsi="Arial" w:hint="default"/>
      </w:rPr>
    </w:lvl>
    <w:lvl w:ilvl="5" w:tplc="39EECEDA" w:tentative="1">
      <w:start w:val="1"/>
      <w:numFmt w:val="bullet"/>
      <w:lvlText w:val="•"/>
      <w:lvlJc w:val="left"/>
      <w:pPr>
        <w:tabs>
          <w:tab w:val="num" w:pos="4320"/>
        </w:tabs>
        <w:ind w:left="4320" w:hanging="360"/>
      </w:pPr>
      <w:rPr>
        <w:rFonts w:ascii="Arial" w:hAnsi="Arial" w:hint="default"/>
      </w:rPr>
    </w:lvl>
    <w:lvl w:ilvl="6" w:tplc="3160974C" w:tentative="1">
      <w:start w:val="1"/>
      <w:numFmt w:val="bullet"/>
      <w:lvlText w:val="•"/>
      <w:lvlJc w:val="left"/>
      <w:pPr>
        <w:tabs>
          <w:tab w:val="num" w:pos="5040"/>
        </w:tabs>
        <w:ind w:left="5040" w:hanging="360"/>
      </w:pPr>
      <w:rPr>
        <w:rFonts w:ascii="Arial" w:hAnsi="Arial" w:hint="default"/>
      </w:rPr>
    </w:lvl>
    <w:lvl w:ilvl="7" w:tplc="D2B8890E" w:tentative="1">
      <w:start w:val="1"/>
      <w:numFmt w:val="bullet"/>
      <w:lvlText w:val="•"/>
      <w:lvlJc w:val="left"/>
      <w:pPr>
        <w:tabs>
          <w:tab w:val="num" w:pos="5760"/>
        </w:tabs>
        <w:ind w:left="5760" w:hanging="360"/>
      </w:pPr>
      <w:rPr>
        <w:rFonts w:ascii="Arial" w:hAnsi="Arial" w:hint="default"/>
      </w:rPr>
    </w:lvl>
    <w:lvl w:ilvl="8" w:tplc="5B7AAD06" w:tentative="1">
      <w:start w:val="1"/>
      <w:numFmt w:val="bullet"/>
      <w:lvlText w:val="•"/>
      <w:lvlJc w:val="left"/>
      <w:pPr>
        <w:tabs>
          <w:tab w:val="num" w:pos="6480"/>
        </w:tabs>
        <w:ind w:left="6480" w:hanging="360"/>
      </w:pPr>
      <w:rPr>
        <w:rFonts w:ascii="Arial" w:hAnsi="Arial" w:hint="default"/>
      </w:rPr>
    </w:lvl>
  </w:abstractNum>
  <w:abstractNum w:abstractNumId="5">
    <w:nsid w:val="5A2C159D"/>
    <w:multiLevelType w:val="hybridMultilevel"/>
    <w:tmpl w:val="CAEEC914"/>
    <w:lvl w:ilvl="0" w:tplc="0C0A2E3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C740F2"/>
    <w:multiLevelType w:val="hybridMultilevel"/>
    <w:tmpl w:val="895C2B9E"/>
    <w:lvl w:ilvl="0" w:tplc="B324E58A">
      <w:start w:val="1"/>
      <w:numFmt w:val="upperLetter"/>
      <w:lvlText w:val="%1."/>
      <w:lvlJc w:val="left"/>
      <w:pPr>
        <w:ind w:left="720" w:hanging="360"/>
      </w:pPr>
      <w:rPr>
        <w:rFonts w:ascii="Arial" w:hAnsi="Arial" w:cs="Arial"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DD1"/>
    <w:rsid w:val="00014823"/>
    <w:rsid w:val="00015E65"/>
    <w:rsid w:val="00051D96"/>
    <w:rsid w:val="000657C9"/>
    <w:rsid w:val="00092737"/>
    <w:rsid w:val="00097109"/>
    <w:rsid w:val="000B5F8D"/>
    <w:rsid w:val="000D01EA"/>
    <w:rsid w:val="00130101"/>
    <w:rsid w:val="00151E06"/>
    <w:rsid w:val="00161EAC"/>
    <w:rsid w:val="001650C1"/>
    <w:rsid w:val="001752D8"/>
    <w:rsid w:val="00184F46"/>
    <w:rsid w:val="001A64B1"/>
    <w:rsid w:val="001B7991"/>
    <w:rsid w:val="001C39F0"/>
    <w:rsid w:val="001D7C8A"/>
    <w:rsid w:val="001F6508"/>
    <w:rsid w:val="00202389"/>
    <w:rsid w:val="00225309"/>
    <w:rsid w:val="00232EB2"/>
    <w:rsid w:val="00243117"/>
    <w:rsid w:val="00246101"/>
    <w:rsid w:val="00246ECE"/>
    <w:rsid w:val="00272D0E"/>
    <w:rsid w:val="00275C49"/>
    <w:rsid w:val="002825E9"/>
    <w:rsid w:val="002B2FBA"/>
    <w:rsid w:val="002B3D87"/>
    <w:rsid w:val="002C4E01"/>
    <w:rsid w:val="0031195D"/>
    <w:rsid w:val="003153E8"/>
    <w:rsid w:val="00317A1E"/>
    <w:rsid w:val="00380B88"/>
    <w:rsid w:val="00385F9F"/>
    <w:rsid w:val="00396B46"/>
    <w:rsid w:val="003D04F3"/>
    <w:rsid w:val="003D2DCA"/>
    <w:rsid w:val="003F7B28"/>
    <w:rsid w:val="00407CE9"/>
    <w:rsid w:val="00460565"/>
    <w:rsid w:val="004A540D"/>
    <w:rsid w:val="004A6581"/>
    <w:rsid w:val="004B1603"/>
    <w:rsid w:val="004B7EFF"/>
    <w:rsid w:val="004F73E2"/>
    <w:rsid w:val="00541759"/>
    <w:rsid w:val="00557F73"/>
    <w:rsid w:val="00565A5A"/>
    <w:rsid w:val="00566A90"/>
    <w:rsid w:val="00595F70"/>
    <w:rsid w:val="00596807"/>
    <w:rsid w:val="00597F45"/>
    <w:rsid w:val="005A3A37"/>
    <w:rsid w:val="005D7C2C"/>
    <w:rsid w:val="005E2D3C"/>
    <w:rsid w:val="005E60D1"/>
    <w:rsid w:val="005E7976"/>
    <w:rsid w:val="005F69FA"/>
    <w:rsid w:val="006076ED"/>
    <w:rsid w:val="00613531"/>
    <w:rsid w:val="00640D5F"/>
    <w:rsid w:val="006513CD"/>
    <w:rsid w:val="00666913"/>
    <w:rsid w:val="006C03AD"/>
    <w:rsid w:val="006D21EB"/>
    <w:rsid w:val="006D3957"/>
    <w:rsid w:val="006E5A69"/>
    <w:rsid w:val="006F5AE7"/>
    <w:rsid w:val="0074001E"/>
    <w:rsid w:val="00754D26"/>
    <w:rsid w:val="0076459F"/>
    <w:rsid w:val="00792120"/>
    <w:rsid w:val="0079539B"/>
    <w:rsid w:val="007979B5"/>
    <w:rsid w:val="007D0C1D"/>
    <w:rsid w:val="00802BFE"/>
    <w:rsid w:val="00817DF6"/>
    <w:rsid w:val="00840B90"/>
    <w:rsid w:val="008452AF"/>
    <w:rsid w:val="008D513D"/>
    <w:rsid w:val="008D5A3C"/>
    <w:rsid w:val="008E0079"/>
    <w:rsid w:val="008E3111"/>
    <w:rsid w:val="008F35EA"/>
    <w:rsid w:val="008F3D32"/>
    <w:rsid w:val="009001B7"/>
    <w:rsid w:val="00921891"/>
    <w:rsid w:val="00937086"/>
    <w:rsid w:val="00953024"/>
    <w:rsid w:val="00960A61"/>
    <w:rsid w:val="00980A3F"/>
    <w:rsid w:val="0099633D"/>
    <w:rsid w:val="009C713F"/>
    <w:rsid w:val="009D5C49"/>
    <w:rsid w:val="009E5357"/>
    <w:rsid w:val="009F75D0"/>
    <w:rsid w:val="00A004A7"/>
    <w:rsid w:val="00A06166"/>
    <w:rsid w:val="00A266FC"/>
    <w:rsid w:val="00A45143"/>
    <w:rsid w:val="00A57CDF"/>
    <w:rsid w:val="00A8412A"/>
    <w:rsid w:val="00AC3959"/>
    <w:rsid w:val="00AD3FCE"/>
    <w:rsid w:val="00AF0C35"/>
    <w:rsid w:val="00B01564"/>
    <w:rsid w:val="00B2287E"/>
    <w:rsid w:val="00B25B46"/>
    <w:rsid w:val="00B3123C"/>
    <w:rsid w:val="00B31C96"/>
    <w:rsid w:val="00B65B21"/>
    <w:rsid w:val="00B731C6"/>
    <w:rsid w:val="00B73D9F"/>
    <w:rsid w:val="00BD253A"/>
    <w:rsid w:val="00BD537A"/>
    <w:rsid w:val="00C4715E"/>
    <w:rsid w:val="00C50CBD"/>
    <w:rsid w:val="00C55D79"/>
    <w:rsid w:val="00C57D63"/>
    <w:rsid w:val="00C91542"/>
    <w:rsid w:val="00C9231F"/>
    <w:rsid w:val="00C928C4"/>
    <w:rsid w:val="00CA0BA7"/>
    <w:rsid w:val="00CD159D"/>
    <w:rsid w:val="00CD49D9"/>
    <w:rsid w:val="00CE46A3"/>
    <w:rsid w:val="00CE6E22"/>
    <w:rsid w:val="00CF0FEA"/>
    <w:rsid w:val="00D17080"/>
    <w:rsid w:val="00D21D51"/>
    <w:rsid w:val="00D5020C"/>
    <w:rsid w:val="00D62E4D"/>
    <w:rsid w:val="00D859FA"/>
    <w:rsid w:val="00D85B09"/>
    <w:rsid w:val="00D9762B"/>
    <w:rsid w:val="00DA2029"/>
    <w:rsid w:val="00DA3D3A"/>
    <w:rsid w:val="00DD3CE5"/>
    <w:rsid w:val="00DF54AD"/>
    <w:rsid w:val="00E1419C"/>
    <w:rsid w:val="00E231DC"/>
    <w:rsid w:val="00E25DF8"/>
    <w:rsid w:val="00E5631A"/>
    <w:rsid w:val="00E57F06"/>
    <w:rsid w:val="00E64230"/>
    <w:rsid w:val="00E65BA1"/>
    <w:rsid w:val="00E72FDB"/>
    <w:rsid w:val="00E806CE"/>
    <w:rsid w:val="00E847A2"/>
    <w:rsid w:val="00EA0BF0"/>
    <w:rsid w:val="00EB7343"/>
    <w:rsid w:val="00EC0BE8"/>
    <w:rsid w:val="00ED62F0"/>
    <w:rsid w:val="00EF4F13"/>
    <w:rsid w:val="00F266CD"/>
    <w:rsid w:val="00F35AE4"/>
    <w:rsid w:val="00F36D05"/>
    <w:rsid w:val="00F406AE"/>
    <w:rsid w:val="00F54279"/>
    <w:rsid w:val="00F756F6"/>
    <w:rsid w:val="00FC00FB"/>
    <w:rsid w:val="00FC380D"/>
    <w:rsid w:val="00FD1DD1"/>
    <w:rsid w:val="00FD7709"/>
    <w:rsid w:val="00FF025E"/>
    <w:rsid w:val="00FF4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71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563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563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3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231DC"/>
    <w:pPr>
      <w:ind w:left="720"/>
      <w:contextualSpacing/>
    </w:pPr>
  </w:style>
  <w:style w:type="character" w:styleId="Emphasis">
    <w:name w:val="Emphasis"/>
    <w:basedOn w:val="DefaultParagraphFont"/>
    <w:uiPriority w:val="20"/>
    <w:qFormat/>
    <w:rsid w:val="001752D8"/>
    <w:rPr>
      <w:i/>
      <w:iCs/>
    </w:rPr>
  </w:style>
  <w:style w:type="paragraph" w:styleId="NormalWeb">
    <w:name w:val="Normal (Web)"/>
    <w:basedOn w:val="Normal"/>
    <w:uiPriority w:val="99"/>
    <w:unhideWhenUsed/>
    <w:rsid w:val="00AC39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97F4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85F9F"/>
    <w:rPr>
      <w:color w:val="0563C1" w:themeColor="hyperlink"/>
      <w:u w:val="single"/>
    </w:rPr>
  </w:style>
  <w:style w:type="paragraph" w:customStyle="1" w:styleId="xmsonormal">
    <w:name w:val="x_msonormal"/>
    <w:basedOn w:val="Normal"/>
    <w:rsid w:val="00AD3F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3FCE"/>
  </w:style>
  <w:style w:type="character" w:customStyle="1" w:styleId="Heading2Char">
    <w:name w:val="Heading 2 Char"/>
    <w:basedOn w:val="DefaultParagraphFont"/>
    <w:link w:val="Heading2"/>
    <w:uiPriority w:val="9"/>
    <w:rsid w:val="00E5631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5631A"/>
    <w:rPr>
      <w:rFonts w:ascii="Times New Roman" w:eastAsia="Times New Roman" w:hAnsi="Times New Roman" w:cs="Times New Roman"/>
      <w:b/>
      <w:bCs/>
      <w:sz w:val="27"/>
      <w:szCs w:val="27"/>
    </w:rPr>
  </w:style>
  <w:style w:type="paragraph" w:customStyle="1" w:styleId="smalltext">
    <w:name w:val="smalltext"/>
    <w:basedOn w:val="Normal"/>
    <w:rsid w:val="00E563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4715E"/>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EC0BE8"/>
    <w:rPr>
      <w:color w:val="954F72" w:themeColor="followedHyperlink"/>
      <w:u w:val="single"/>
    </w:rPr>
  </w:style>
  <w:style w:type="paragraph" w:styleId="Header">
    <w:name w:val="header"/>
    <w:basedOn w:val="Normal"/>
    <w:link w:val="HeaderChar"/>
    <w:uiPriority w:val="99"/>
    <w:unhideWhenUsed/>
    <w:rsid w:val="00B31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C96"/>
  </w:style>
  <w:style w:type="paragraph" w:styleId="Footer">
    <w:name w:val="footer"/>
    <w:basedOn w:val="Normal"/>
    <w:link w:val="FooterChar"/>
    <w:uiPriority w:val="99"/>
    <w:unhideWhenUsed/>
    <w:rsid w:val="00B31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C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71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563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563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3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231DC"/>
    <w:pPr>
      <w:ind w:left="720"/>
      <w:contextualSpacing/>
    </w:pPr>
  </w:style>
  <w:style w:type="character" w:styleId="Emphasis">
    <w:name w:val="Emphasis"/>
    <w:basedOn w:val="DefaultParagraphFont"/>
    <w:uiPriority w:val="20"/>
    <w:qFormat/>
    <w:rsid w:val="001752D8"/>
    <w:rPr>
      <w:i/>
      <w:iCs/>
    </w:rPr>
  </w:style>
  <w:style w:type="paragraph" w:styleId="NormalWeb">
    <w:name w:val="Normal (Web)"/>
    <w:basedOn w:val="Normal"/>
    <w:uiPriority w:val="99"/>
    <w:unhideWhenUsed/>
    <w:rsid w:val="00AC39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97F4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85F9F"/>
    <w:rPr>
      <w:color w:val="0563C1" w:themeColor="hyperlink"/>
      <w:u w:val="single"/>
    </w:rPr>
  </w:style>
  <w:style w:type="paragraph" w:customStyle="1" w:styleId="xmsonormal">
    <w:name w:val="x_msonormal"/>
    <w:basedOn w:val="Normal"/>
    <w:rsid w:val="00AD3F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3FCE"/>
  </w:style>
  <w:style w:type="character" w:customStyle="1" w:styleId="Heading2Char">
    <w:name w:val="Heading 2 Char"/>
    <w:basedOn w:val="DefaultParagraphFont"/>
    <w:link w:val="Heading2"/>
    <w:uiPriority w:val="9"/>
    <w:rsid w:val="00E5631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5631A"/>
    <w:rPr>
      <w:rFonts w:ascii="Times New Roman" w:eastAsia="Times New Roman" w:hAnsi="Times New Roman" w:cs="Times New Roman"/>
      <w:b/>
      <w:bCs/>
      <w:sz w:val="27"/>
      <w:szCs w:val="27"/>
    </w:rPr>
  </w:style>
  <w:style w:type="paragraph" w:customStyle="1" w:styleId="smalltext">
    <w:name w:val="smalltext"/>
    <w:basedOn w:val="Normal"/>
    <w:rsid w:val="00E563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4715E"/>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EC0BE8"/>
    <w:rPr>
      <w:color w:val="954F72" w:themeColor="followedHyperlink"/>
      <w:u w:val="single"/>
    </w:rPr>
  </w:style>
  <w:style w:type="paragraph" w:styleId="Header">
    <w:name w:val="header"/>
    <w:basedOn w:val="Normal"/>
    <w:link w:val="HeaderChar"/>
    <w:uiPriority w:val="99"/>
    <w:unhideWhenUsed/>
    <w:rsid w:val="00B31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C96"/>
  </w:style>
  <w:style w:type="paragraph" w:styleId="Footer">
    <w:name w:val="footer"/>
    <w:basedOn w:val="Normal"/>
    <w:link w:val="FooterChar"/>
    <w:uiPriority w:val="99"/>
    <w:unhideWhenUsed/>
    <w:rsid w:val="00B31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92028">
      <w:bodyDiv w:val="1"/>
      <w:marLeft w:val="0"/>
      <w:marRight w:val="0"/>
      <w:marTop w:val="0"/>
      <w:marBottom w:val="0"/>
      <w:divBdr>
        <w:top w:val="none" w:sz="0" w:space="0" w:color="auto"/>
        <w:left w:val="none" w:sz="0" w:space="0" w:color="auto"/>
        <w:bottom w:val="none" w:sz="0" w:space="0" w:color="auto"/>
        <w:right w:val="none" w:sz="0" w:space="0" w:color="auto"/>
      </w:divBdr>
    </w:div>
    <w:div w:id="313070661">
      <w:bodyDiv w:val="1"/>
      <w:marLeft w:val="0"/>
      <w:marRight w:val="0"/>
      <w:marTop w:val="0"/>
      <w:marBottom w:val="0"/>
      <w:divBdr>
        <w:top w:val="none" w:sz="0" w:space="0" w:color="auto"/>
        <w:left w:val="none" w:sz="0" w:space="0" w:color="auto"/>
        <w:bottom w:val="none" w:sz="0" w:space="0" w:color="auto"/>
        <w:right w:val="none" w:sz="0" w:space="0" w:color="auto"/>
      </w:divBdr>
    </w:div>
    <w:div w:id="920719150">
      <w:bodyDiv w:val="1"/>
      <w:marLeft w:val="0"/>
      <w:marRight w:val="0"/>
      <w:marTop w:val="0"/>
      <w:marBottom w:val="0"/>
      <w:divBdr>
        <w:top w:val="none" w:sz="0" w:space="0" w:color="auto"/>
        <w:left w:val="none" w:sz="0" w:space="0" w:color="auto"/>
        <w:bottom w:val="none" w:sz="0" w:space="0" w:color="auto"/>
        <w:right w:val="none" w:sz="0" w:space="0" w:color="auto"/>
      </w:divBdr>
      <w:divsChild>
        <w:div w:id="1815180474">
          <w:marLeft w:val="0"/>
          <w:marRight w:val="0"/>
          <w:marTop w:val="0"/>
          <w:marBottom w:val="0"/>
          <w:divBdr>
            <w:top w:val="none" w:sz="0" w:space="0" w:color="auto"/>
            <w:left w:val="none" w:sz="0" w:space="0" w:color="auto"/>
            <w:bottom w:val="none" w:sz="0" w:space="0" w:color="auto"/>
            <w:right w:val="none" w:sz="0" w:space="0" w:color="auto"/>
          </w:divBdr>
          <w:divsChild>
            <w:div w:id="149016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91900">
      <w:bodyDiv w:val="1"/>
      <w:marLeft w:val="0"/>
      <w:marRight w:val="0"/>
      <w:marTop w:val="0"/>
      <w:marBottom w:val="0"/>
      <w:divBdr>
        <w:top w:val="none" w:sz="0" w:space="0" w:color="auto"/>
        <w:left w:val="none" w:sz="0" w:space="0" w:color="auto"/>
        <w:bottom w:val="none" w:sz="0" w:space="0" w:color="auto"/>
        <w:right w:val="none" w:sz="0" w:space="0" w:color="auto"/>
      </w:divBdr>
      <w:divsChild>
        <w:div w:id="1085112164">
          <w:marLeft w:val="547"/>
          <w:marRight w:val="0"/>
          <w:marTop w:val="154"/>
          <w:marBottom w:val="0"/>
          <w:divBdr>
            <w:top w:val="none" w:sz="0" w:space="0" w:color="auto"/>
            <w:left w:val="none" w:sz="0" w:space="0" w:color="auto"/>
            <w:bottom w:val="none" w:sz="0" w:space="0" w:color="auto"/>
            <w:right w:val="none" w:sz="0" w:space="0" w:color="auto"/>
          </w:divBdr>
        </w:div>
      </w:divsChild>
    </w:div>
    <w:div w:id="1655991057">
      <w:bodyDiv w:val="1"/>
      <w:marLeft w:val="0"/>
      <w:marRight w:val="0"/>
      <w:marTop w:val="0"/>
      <w:marBottom w:val="0"/>
      <w:divBdr>
        <w:top w:val="none" w:sz="0" w:space="0" w:color="auto"/>
        <w:left w:val="none" w:sz="0" w:space="0" w:color="auto"/>
        <w:bottom w:val="none" w:sz="0" w:space="0" w:color="auto"/>
        <w:right w:val="none" w:sz="0" w:space="0" w:color="auto"/>
      </w:divBdr>
    </w:div>
    <w:div w:id="178206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37260-B470-4E53-A068-719724D18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Grand Blanc Schools</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dc:creator>
  <cp:keywords/>
  <dc:description/>
  <cp:lastModifiedBy>ahall</cp:lastModifiedBy>
  <cp:revision>18</cp:revision>
  <cp:lastPrinted>2015-02-23T17:45:00Z</cp:lastPrinted>
  <dcterms:created xsi:type="dcterms:W3CDTF">2015-01-23T01:46:00Z</dcterms:created>
  <dcterms:modified xsi:type="dcterms:W3CDTF">2015-03-16T15:49:00Z</dcterms:modified>
</cp:coreProperties>
</file>